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689805"/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bookmarkStart w:id="1" w:name="_GoBack"/>
      <w:bookmarkEnd w:id="1"/>
      <w:r>
        <w:rPr>
          <w:rFonts w:hint="eastAsia"/>
        </w:rPr>
        <w:t>:</w:t>
      </w:r>
      <w:r>
        <w:t>物流企业经营情况</w:t>
      </w:r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229"/>
        <w:gridCol w:w="1155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5" w:type="dxa"/>
            <w:gridSpan w:val="2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    号：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物流统调1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-2</w:t>
            </w:r>
            <w:r>
              <w:rPr>
                <w:rFonts w:ascii="宋体" w:hAnsi="宋体"/>
                <w:kern w:val="0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5" w:type="dxa"/>
            <w:gridSpan w:val="2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国家发展和改革委员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165" w:type="dxa"/>
            <w:gridSpan w:val="2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中国物流与采购联合会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1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批准机关：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16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组织机构代码号□□□□□□□□－□</w:t>
            </w:r>
          </w:p>
        </w:tc>
        <w:tc>
          <w:tcPr>
            <w:tcW w:w="1155" w:type="dxa"/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napToGrid w:val="0"/>
              <w:spacing w:before="14" w:line="24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国统制〔2019〕31号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单位详细名称：</w:t>
            </w:r>
          </w:p>
        </w:tc>
        <w:tc>
          <w:tcPr>
            <w:tcW w:w="222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２０  　年   月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2022年3月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92"/>
        <w:gridCol w:w="567"/>
        <w:gridCol w:w="426"/>
        <w:gridCol w:w="708"/>
        <w:gridCol w:w="1843"/>
        <w:gridCol w:w="709"/>
        <w:gridCol w:w="425"/>
        <w:gridCol w:w="567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</w:t>
            </w:r>
          </w:p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代码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本期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上年同期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代码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本期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上年同期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货运量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周转量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吨公里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配送量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信息及相关服务成本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货代业务成本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一体化物流业务成本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仓储成本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吞吐量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运输成本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物流业务收入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</w:t>
            </w:r>
            <w:r>
              <w:rPr>
                <w:rFonts w:hint="eastAsia" w:ascii="宋体" w:hAnsi="宋体"/>
                <w:sz w:val="18"/>
                <w:szCs w:val="18"/>
              </w:rPr>
              <w:t>燃料</w:t>
            </w:r>
            <w:r>
              <w:rPr>
                <w:rFonts w:ascii="宋体" w:hAnsi="宋体"/>
                <w:sz w:val="18"/>
                <w:szCs w:val="18"/>
              </w:rPr>
              <w:t>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其中：配送收入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管理成本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职工薪酬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信息及相关服务收入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营业利润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货代业务收入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主营业务税金及附加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一体化物流业务收入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应交增值税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仓储收入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资产总计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运输收入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流动资产合计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装卸搬运收入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其中:</w:t>
            </w:r>
            <w:r>
              <w:rPr>
                <w:rFonts w:ascii="宋体" w:hAnsi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物流业务成本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负债合计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其中：配送成本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1" w:leftChars="-51" w:right="-107" w:rightChars="-51" w:hanging="108" w:hangingChars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固定资产</w:t>
            </w:r>
            <w:r>
              <w:rPr>
                <w:rFonts w:hint="eastAsia" w:ascii="宋体" w:hAnsi="宋体"/>
                <w:sz w:val="18"/>
                <w:szCs w:val="18"/>
              </w:rPr>
              <w:t>累计</w:t>
            </w:r>
            <w:r>
              <w:rPr>
                <w:rFonts w:ascii="宋体" w:hAnsi="宋体"/>
                <w:sz w:val="18"/>
                <w:szCs w:val="18"/>
              </w:rPr>
              <w:t>折旧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64" w:type="dxa"/>
            <w:gridSpan w:val="10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单位负责人：      统计负责人：   填表人：      联系电话：                  报出日期：２０  年 月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4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说明：1.本表由本制度选定的物流业独立法人企业填报，去年同期数据只限本年度新增企业填报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ind w:left="567" w:leftChars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2.物流企业经营情况表主要调查物流企业的物流经营活动情况。</w:t>
            </w:r>
          </w:p>
          <w:p>
            <w:pPr>
              <w:ind w:left="567" w:leftChars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3.本表为月报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报送时间为</w:t>
            </w:r>
            <w:r>
              <w:rPr>
                <w:rFonts w:hint="eastAsia"/>
                <w:sz w:val="18"/>
                <w:szCs w:val="18"/>
              </w:rPr>
              <w:t>月后</w:t>
            </w:r>
            <w:r>
              <w:rPr>
                <w:sz w:val="18"/>
                <w:szCs w:val="18"/>
              </w:rPr>
              <w:t>20日前，12月报表报送时间为</w:t>
            </w:r>
            <w:r>
              <w:rPr>
                <w:rFonts w:hint="eastAsia"/>
                <w:sz w:val="18"/>
                <w:szCs w:val="18"/>
              </w:rPr>
              <w:t>年后</w:t>
            </w:r>
            <w:r>
              <w:rPr>
                <w:sz w:val="18"/>
                <w:szCs w:val="18"/>
              </w:rPr>
              <w:t>3月10日前，报送方式为邮寄和网上直报或电子邮件、传真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ind w:left="567" w:leftChars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4.审核关系：</w:t>
            </w:r>
          </w:p>
          <w:p>
            <w:pPr>
              <w:ind w:left="567" w:leftChars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>物流业务收入（08）≥配送收入（09）＋流通加工收入（10）＋包装收入（11）＋信息及相关服务收入（12）＋货代业务收入（13）＋一体化物流业务收入（14）＋仓储收入（15）＋运输收入（16）＋装卸搬运收入（17）</w:t>
            </w:r>
          </w:p>
          <w:p>
            <w:pPr>
              <w:ind w:left="567" w:leftChars="27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物流业务成本（18）≥配送成本（19）＋流通加工成本（20）＋包装成本（21）＋信息及相关服务成本（22）＋货代业务成本（23）＋一体化物流业务成本（24）＋仓储成本（25）＋运输成本（26）＋装卸搬运成本（28）＋管理成本（29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1D"/>
    <w:rsid w:val="003351E8"/>
    <w:rsid w:val="00BB141D"/>
    <w:rsid w:val="322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ascii="Times New Roman" w:hAnsi="Times New Roman" w:eastAsia="宋体" w:cs="Times New Roman"/>
      <w:bCs/>
      <w:sz w:val="32"/>
      <w:szCs w:val="32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1067</Characters>
  <Lines>8</Lines>
  <Paragraphs>2</Paragraphs>
  <TotalTime>0</TotalTime>
  <ScaleCrop>false</ScaleCrop>
  <LinksUpToDate>false</LinksUpToDate>
  <CharactersWithSpaces>1252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2019-08-27T04:00:00Z</dcterms:created>
  <dc:creator>huhan</dc:creator>
  <cp:lastModifiedBy>绮云</cp:lastModifiedBy>
  <cp:lastPrinted>2019-10-24T09:51:14Z</cp:lastPrinted>
  <dcterms:modified xsi:type="dcterms:W3CDTF">2019-10-24T09:58:41Z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