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24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lang w:val="en-US" w:eastAsia="zh-CN"/>
        </w:rPr>
        <w:t>2022年以来涉</w:t>
      </w:r>
      <w:r>
        <w:rPr>
          <w:rFonts w:hint="eastAsia" w:ascii="方正小标宋_GBK" w:hAnsi="方正小标宋_GBK" w:eastAsia="方正小标宋_GBK" w:cs="方正小标宋_GBK"/>
          <w:bCs/>
          <w:color w:val="000000"/>
          <w:sz w:val="36"/>
          <w:szCs w:val="44"/>
        </w:rPr>
        <w:t>交通运输业</w:t>
      </w:r>
      <w:r>
        <w:rPr>
          <w:rFonts w:hint="eastAsia" w:ascii="方正小标宋_GBK" w:hAnsi="方正小标宋_GBK" w:eastAsia="方正小标宋_GBK" w:cs="方正小标宋_GBK"/>
          <w:bCs/>
          <w:color w:val="000000"/>
          <w:sz w:val="36"/>
          <w:szCs w:val="44"/>
          <w:lang w:eastAsia="zh-CN"/>
        </w:rPr>
        <w:t>国家</w:t>
      </w:r>
      <w:r>
        <w:rPr>
          <w:rFonts w:hint="eastAsia" w:ascii="方正小标宋_GBK" w:hAnsi="方正小标宋_GBK" w:eastAsia="方正小标宋_GBK" w:cs="方正小标宋_GBK"/>
          <w:bCs/>
          <w:color w:val="000000"/>
          <w:sz w:val="36"/>
          <w:szCs w:val="44"/>
        </w:rPr>
        <w:t>主要财税金融</w:t>
      </w:r>
    </w:p>
    <w:p>
      <w:pPr>
        <w:adjustRightInd w:val="0"/>
        <w:snapToGrid w:val="0"/>
        <w:spacing w:before="156" w:beforeLines="50" w:after="156" w:afterLines="50" w:line="240" w:lineRule="auto"/>
        <w:jc w:val="center"/>
        <w:outlineLvl w:val="0"/>
        <w:rPr>
          <w:rFonts w:hint="eastAsia" w:ascii="方正小标宋_GBK" w:hAnsi="方正小标宋_GBK" w:eastAsia="方正小标宋_GBK" w:cs="方正小标宋_GBK"/>
          <w:bCs/>
          <w:color w:val="000000"/>
          <w:sz w:val="36"/>
          <w:szCs w:val="44"/>
        </w:rPr>
      </w:pPr>
      <w:r>
        <w:rPr>
          <w:rFonts w:hint="eastAsia" w:ascii="方正小标宋_GBK" w:hAnsi="方正小标宋_GBK" w:eastAsia="方正小标宋_GBK" w:cs="方正小标宋_GBK"/>
          <w:bCs/>
          <w:color w:val="000000"/>
          <w:sz w:val="36"/>
          <w:szCs w:val="44"/>
        </w:rPr>
        <w:t>优惠政策目录清单</w:t>
      </w:r>
    </w:p>
    <w:p>
      <w:pPr>
        <w:adjustRightInd w:val="0"/>
        <w:snapToGrid w:val="0"/>
        <w:spacing w:before="156" w:beforeLines="50" w:after="156" w:afterLines="50" w:line="240" w:lineRule="auto"/>
        <w:jc w:val="center"/>
        <w:outlineLvl w:val="0"/>
        <w:rPr>
          <w:rFonts w:hint="eastAsia" w:ascii="黑体" w:hAnsi="黑体" w:eastAsia="黑体" w:cs="方正小标宋_GBK"/>
          <w:bCs/>
          <w:color w:val="000000"/>
          <w:sz w:val="30"/>
          <w:szCs w:val="44"/>
        </w:rPr>
      </w:pPr>
      <w:bookmarkStart w:id="1" w:name="_GoBack"/>
      <w:bookmarkEnd w:id="1"/>
      <w:r>
        <w:rPr>
          <w:rFonts w:hint="eastAsia" w:ascii="方正小标宋_GBK" w:hAnsi="方正小标宋_GBK" w:eastAsia="方正小标宋_GBK" w:cs="方正小标宋_GBK"/>
          <w:bCs/>
          <w:color w:val="000000"/>
          <w:sz w:val="36"/>
          <w:szCs w:val="44"/>
          <w:lang w:val="en-US" w:eastAsia="zh-CN"/>
        </w:rPr>
        <w:t>（1）</w:t>
      </w:r>
    </w:p>
    <w:p>
      <w:pPr>
        <w:spacing w:line="240" w:lineRule="auto"/>
        <w:ind w:firstLine="900" w:firstLineChars="300"/>
        <w:rPr>
          <w:rFonts w:ascii="黑体" w:hAnsi="黑体" w:eastAsia="黑体" w:cs="方正小标宋_GBK"/>
          <w:bCs/>
          <w:color w:val="000000"/>
          <w:sz w:val="30"/>
          <w:szCs w:val="44"/>
          <w:highlight w:val="yellow"/>
        </w:rPr>
      </w:pPr>
      <w:r>
        <w:rPr>
          <w:rFonts w:hint="eastAsia" w:ascii="黑体" w:hAnsi="黑体" w:eastAsia="黑体" w:cs="方正小标宋_GBK"/>
          <w:bCs/>
          <w:color w:val="000000"/>
          <w:sz w:val="30"/>
          <w:szCs w:val="44"/>
        </w:rPr>
        <w:t xml:space="preserve">财务审计司编发     </w:t>
      </w:r>
      <w:r>
        <w:rPr>
          <w:rFonts w:hint="eastAsia" w:ascii="黑体" w:hAnsi="黑体" w:eastAsia="黑体" w:cs="方正小标宋_GBK"/>
          <w:bCs/>
          <w:color w:val="000000"/>
          <w:sz w:val="30"/>
          <w:szCs w:val="44"/>
          <w:lang w:val="en-US" w:eastAsia="zh-CN"/>
        </w:rPr>
        <w:t xml:space="preserve">                </w:t>
      </w:r>
      <w:r>
        <w:rPr>
          <w:rFonts w:hint="eastAsia" w:ascii="黑体" w:hAnsi="黑体" w:eastAsia="黑体" w:cs="方正小标宋_GBK"/>
          <w:bCs/>
          <w:color w:val="000000"/>
          <w:sz w:val="30"/>
          <w:szCs w:val="44"/>
        </w:rPr>
        <w:t xml:space="preserve"> </w:t>
      </w:r>
      <w:r>
        <w:rPr>
          <w:rFonts w:hint="eastAsia" w:ascii="黑体" w:hAnsi="黑体" w:eastAsia="黑体" w:cs="方正小标宋_GBK"/>
          <w:bCs/>
          <w:color w:val="000000"/>
          <w:sz w:val="30"/>
          <w:szCs w:val="44"/>
          <w:lang w:eastAsia="zh-CN"/>
        </w:rPr>
        <w:t>截</w:t>
      </w:r>
      <w:r>
        <w:rPr>
          <w:rFonts w:hint="eastAsia" w:ascii="黑体" w:hAnsi="黑体" w:eastAsia="黑体" w:cs="方正小标宋_GBK"/>
          <w:bCs/>
          <w:color w:val="000000"/>
          <w:sz w:val="30"/>
          <w:szCs w:val="44"/>
        </w:rPr>
        <w:t>至2</w:t>
      </w:r>
      <w:r>
        <w:rPr>
          <w:rFonts w:ascii="黑体" w:hAnsi="黑体" w:eastAsia="黑体" w:cs="方正小标宋_GBK"/>
          <w:bCs/>
          <w:color w:val="000000"/>
          <w:sz w:val="30"/>
          <w:szCs w:val="44"/>
        </w:rPr>
        <w:t>022</w:t>
      </w:r>
      <w:r>
        <w:rPr>
          <w:rFonts w:hint="eastAsia" w:ascii="黑体" w:hAnsi="黑体" w:eastAsia="黑体" w:cs="方正小标宋_GBK"/>
          <w:bCs/>
          <w:color w:val="000000"/>
          <w:sz w:val="30"/>
          <w:szCs w:val="44"/>
        </w:rPr>
        <w:t>年</w:t>
      </w:r>
      <w:r>
        <w:rPr>
          <w:rFonts w:ascii="黑体" w:hAnsi="黑体" w:eastAsia="黑体" w:cs="方正小标宋_GBK"/>
          <w:bCs/>
          <w:color w:val="000000"/>
          <w:sz w:val="30"/>
          <w:szCs w:val="44"/>
        </w:rPr>
        <w:t>3</w:t>
      </w:r>
      <w:r>
        <w:rPr>
          <w:rFonts w:hint="eastAsia" w:ascii="黑体" w:hAnsi="黑体" w:eastAsia="黑体" w:cs="方正小标宋_GBK"/>
          <w:bCs/>
          <w:color w:val="000000"/>
          <w:sz w:val="30"/>
          <w:szCs w:val="44"/>
        </w:rPr>
        <w:t>月</w:t>
      </w:r>
      <w:r>
        <w:rPr>
          <w:rFonts w:hint="eastAsia" w:ascii="黑体" w:hAnsi="黑体" w:eastAsia="黑体" w:cs="方正小标宋_GBK"/>
          <w:bCs/>
          <w:color w:val="000000"/>
          <w:sz w:val="30"/>
          <w:szCs w:val="44"/>
          <w:lang w:val="en-US" w:eastAsia="zh-CN"/>
        </w:rPr>
        <w:t>25</w:t>
      </w:r>
      <w:r>
        <w:rPr>
          <w:rFonts w:hint="eastAsia" w:ascii="黑体" w:hAnsi="黑体" w:eastAsia="黑体" w:cs="方正小标宋_GBK"/>
          <w:bCs/>
          <w:color w:val="000000"/>
          <w:sz w:val="30"/>
          <w:szCs w:val="44"/>
        </w:rPr>
        <w:t>日</w:t>
      </w:r>
    </w:p>
    <w:tbl>
      <w:tblPr>
        <w:tblStyle w:val="14"/>
        <w:tblW w:w="10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211"/>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blHeader/>
          <w:jc w:val="center"/>
        </w:trPr>
        <w:tc>
          <w:tcPr>
            <w:tcW w:w="679" w:type="dxa"/>
            <w:vAlign w:val="center"/>
          </w:tcPr>
          <w:p>
            <w:pPr>
              <w:spacing w:line="240" w:lineRule="auto"/>
              <w:jc w:val="center"/>
              <w:rPr>
                <w:rFonts w:ascii="仿宋_GB2312" w:hAnsi="仿宋" w:eastAsia="仿宋_GB2312"/>
                <w:b/>
                <w:color w:val="000000"/>
                <w:sz w:val="22"/>
                <w:szCs w:val="22"/>
              </w:rPr>
            </w:pPr>
            <w:r>
              <w:rPr>
                <w:rFonts w:hint="eastAsia" w:ascii="仿宋_GB2312" w:hAnsi="仿宋" w:eastAsia="仿宋_GB2312"/>
                <w:b/>
                <w:color w:val="000000"/>
                <w:sz w:val="22"/>
                <w:szCs w:val="22"/>
              </w:rPr>
              <w:t>序号</w:t>
            </w:r>
          </w:p>
        </w:tc>
        <w:tc>
          <w:tcPr>
            <w:tcW w:w="2211" w:type="dxa"/>
            <w:vAlign w:val="center"/>
          </w:tcPr>
          <w:p>
            <w:pPr>
              <w:spacing w:line="240" w:lineRule="auto"/>
              <w:jc w:val="center"/>
              <w:rPr>
                <w:rFonts w:ascii="仿宋_GB2312" w:hAnsi="仿宋" w:eastAsia="仿宋_GB2312"/>
                <w:b/>
                <w:color w:val="000000"/>
                <w:sz w:val="22"/>
                <w:szCs w:val="22"/>
              </w:rPr>
            </w:pPr>
            <w:r>
              <w:rPr>
                <w:rFonts w:hint="eastAsia" w:ascii="仿宋_GB2312" w:hAnsi="仿宋" w:eastAsia="仿宋_GB2312"/>
                <w:b/>
                <w:color w:val="000000"/>
                <w:sz w:val="22"/>
                <w:szCs w:val="22"/>
              </w:rPr>
              <w:t>政策文件</w:t>
            </w:r>
          </w:p>
        </w:tc>
        <w:tc>
          <w:tcPr>
            <w:tcW w:w="7479" w:type="dxa"/>
            <w:vAlign w:val="center"/>
          </w:tcPr>
          <w:p>
            <w:pPr>
              <w:spacing w:line="240" w:lineRule="auto"/>
              <w:jc w:val="center"/>
              <w:rPr>
                <w:rFonts w:ascii="仿宋_GB2312" w:hAnsi="仿宋" w:eastAsia="仿宋_GB2312"/>
                <w:b/>
                <w:color w:val="000000"/>
                <w:sz w:val="22"/>
                <w:szCs w:val="22"/>
              </w:rPr>
            </w:pPr>
            <w:r>
              <w:rPr>
                <w:rFonts w:hint="eastAsia" w:ascii="仿宋_GB2312" w:hAnsi="仿宋" w:eastAsia="仿宋_GB2312"/>
                <w:b/>
                <w:color w:val="000000"/>
                <w:sz w:val="22"/>
                <w:szCs w:val="22"/>
              </w:rPr>
              <w:t>财税金融优惠政策主要内容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bidi w:val="0"/>
              <w:jc w:val="center"/>
              <w:rPr>
                <w:rFonts w:hint="default" w:ascii="仿宋_GB2312" w:hAnsi="仿宋_GB2312" w:eastAsia="仿宋_GB2312" w:cs="仿宋_GB2312"/>
                <w:kern w:val="2"/>
                <w:sz w:val="22"/>
                <w:szCs w:val="28"/>
                <w:highlight w:val="none"/>
                <w:lang w:val="en-US" w:eastAsia="zh-CN" w:bidi="ar-SA"/>
              </w:rPr>
            </w:pPr>
            <w:r>
              <w:rPr>
                <w:rFonts w:hint="eastAsia" w:ascii="仿宋_GB2312" w:hAnsi="仿宋_GB2312" w:eastAsia="仿宋_GB2312" w:cs="仿宋_GB2312"/>
                <w:sz w:val="22"/>
                <w:szCs w:val="28"/>
                <w:highlight w:val="none"/>
                <w:lang w:val="en-US" w:eastAsia="zh-CN"/>
              </w:rPr>
              <w:t>1</w:t>
            </w:r>
          </w:p>
        </w:tc>
        <w:tc>
          <w:tcPr>
            <w:tcW w:w="2211" w:type="dxa"/>
            <w:vAlign w:val="center"/>
          </w:tcPr>
          <w:p>
            <w:pPr>
              <w:bidi w:val="0"/>
              <w:rPr>
                <w:rFonts w:hint="eastAsia" w:ascii="仿宋_GB2312" w:hAnsi="仿宋_GB2312" w:eastAsia="仿宋_GB2312" w:cs="仿宋_GB2312"/>
                <w:sz w:val="22"/>
                <w:szCs w:val="28"/>
                <w:highlight w:val="none"/>
                <w:lang w:eastAsia="zh-CN"/>
              </w:rPr>
            </w:pPr>
            <w:r>
              <w:rPr>
                <w:rFonts w:hint="eastAsia" w:ascii="仿宋_GB2312" w:hAnsi="仿宋_GB2312" w:eastAsia="仿宋_GB2312" w:cs="仿宋_GB2312"/>
                <w:sz w:val="22"/>
                <w:szCs w:val="28"/>
                <w:highlight w:val="none"/>
                <w:lang w:eastAsia="zh-CN"/>
              </w:rPr>
              <w:t>《</w:t>
            </w:r>
            <w:r>
              <w:rPr>
                <w:rFonts w:hint="eastAsia" w:ascii="仿宋_GB2312" w:hAnsi="仿宋_GB2312" w:eastAsia="仿宋_GB2312" w:cs="仿宋_GB2312"/>
                <w:sz w:val="22"/>
                <w:szCs w:val="28"/>
                <w:highlight w:val="none"/>
              </w:rPr>
              <w:t>关于进一步加大增值税期末留抵退税政策实施力度的公告</w:t>
            </w:r>
            <w:r>
              <w:rPr>
                <w:rFonts w:hint="eastAsia" w:ascii="仿宋_GB2312" w:hAnsi="仿宋_GB2312" w:eastAsia="仿宋_GB2312" w:cs="仿宋_GB2312"/>
                <w:sz w:val="22"/>
                <w:szCs w:val="28"/>
                <w:highlight w:val="none"/>
                <w:lang w:eastAsia="zh-CN"/>
              </w:rPr>
              <w:t>》（</w:t>
            </w:r>
            <w:r>
              <w:rPr>
                <w:rFonts w:hint="default" w:ascii="仿宋_GB2312" w:hAnsi="仿宋_GB2312" w:eastAsia="仿宋_GB2312" w:cs="仿宋_GB2312"/>
                <w:sz w:val="22"/>
                <w:szCs w:val="28"/>
                <w:highlight w:val="none"/>
              </w:rPr>
              <w:t>财政部 税务总局公告2022年第14号</w:t>
            </w:r>
            <w:r>
              <w:rPr>
                <w:rFonts w:hint="eastAsia" w:ascii="仿宋_GB2312" w:hAnsi="仿宋_GB2312" w:eastAsia="仿宋_GB2312" w:cs="仿宋_GB2312"/>
                <w:sz w:val="22"/>
                <w:szCs w:val="28"/>
                <w:highlight w:val="none"/>
                <w:lang w:eastAsia="zh-CN"/>
              </w:rPr>
              <w:t>）</w:t>
            </w:r>
          </w:p>
          <w:p>
            <w:pPr>
              <w:bidi w:val="0"/>
              <w:rPr>
                <w:rFonts w:hint="eastAsia" w:ascii="仿宋_GB2312" w:hAnsi="仿宋_GB2312" w:eastAsia="仿宋_GB2312" w:cs="仿宋_GB2312"/>
                <w:sz w:val="22"/>
                <w:szCs w:val="28"/>
                <w:highlight w:val="none"/>
                <w:lang w:val="en-US" w:eastAsia="zh-CN"/>
              </w:rPr>
            </w:pP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加大小微企业增值税期末留抵退税政策力度，将先进制造业按月全额退还增值税增量留抵税额政策范围扩大至符合条件的小微企业（含个体工商户，下同），并一次性退还小微企业存量留抵税额。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）符合条件的小微企业，可以自2022年4月纳税申报期起向主管税务机关申请退还增量留抵税额。在2022年12月31日前，退税条件按照本公告第三条规定执行。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）符合条件的微型企业，可以自2022年4月纳税申报期起向主管税务机关申请一次性退还存量留抵税额；符合条件的小型企业，可以自2022年5月纳税申报期起向主管税务机关申请一次性退还存量留抵税额。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加大“制造业”、“科学研究和技术服务业”、“电力、热力、燃气及水生产和供应业”、“软件和信息技术服务业”、“生态保护和环境治理业”和“交通运输、仓储和邮政业”（以下称制造业等行业）增值税期末留抵退税政策力度，将先进制造业按月全额退还增值税增量留抵税额政策范围扩大至符合条件的制造业等行业企业（含个体工商户，下同），并一次性退还制造业等行业企业存量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）符合条件的制造业等行业企业，可以自2022年4月纳税申报期起向主管税务机关申请退还增量留抵税额。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3.</w:t>
            </w:r>
            <w:r>
              <w:rPr>
                <w:rFonts w:hint="eastAsia" w:ascii="仿宋_GB2312" w:hAnsi="仿宋_GB2312" w:eastAsia="仿宋_GB2312" w:cs="仿宋_GB2312"/>
                <w:sz w:val="22"/>
                <w:szCs w:val="28"/>
                <w:highlight w:val="none"/>
              </w:rPr>
              <w:t>适用本公告政策的纳税人需同时符合以下条件：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）纳税信用等级为A级或者B级；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）申请退税前36个月未发生骗取留抵退税、骗取出口退税或虚开增值税专用发票情形；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3</w:t>
            </w:r>
            <w:r>
              <w:rPr>
                <w:rFonts w:hint="eastAsia" w:ascii="仿宋_GB2312" w:hAnsi="仿宋_GB2312" w:eastAsia="仿宋_GB2312" w:cs="仿宋_GB2312"/>
                <w:sz w:val="22"/>
                <w:szCs w:val="28"/>
                <w:highlight w:val="none"/>
              </w:rPr>
              <w:t>）申请退税前36个月未因偷税被税务机关处罚两次及以上；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4</w:t>
            </w:r>
            <w:r>
              <w:rPr>
                <w:rFonts w:hint="eastAsia" w:ascii="仿宋_GB2312" w:hAnsi="仿宋_GB2312" w:eastAsia="仿宋_GB2312" w:cs="仿宋_GB2312"/>
                <w:sz w:val="22"/>
                <w:szCs w:val="28"/>
                <w:highlight w:val="none"/>
              </w:rPr>
              <w:t>）2019年4月1日起未享受即征即退、先征后返（退）政策。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4.</w:t>
            </w:r>
            <w:r>
              <w:rPr>
                <w:rFonts w:hint="eastAsia" w:ascii="仿宋_GB2312" w:hAnsi="仿宋_GB2312" w:eastAsia="仿宋_GB2312" w:cs="仿宋_GB2312"/>
                <w:sz w:val="22"/>
                <w:szCs w:val="28"/>
                <w:highlight w:val="none"/>
              </w:rPr>
              <w:t>本公告所称增量留抵税额，区分以下情形确定：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）纳税人获得一次性存量留抵退税前，增量留抵税额为当期期末留抵税额与2019年3月31日相比新增加的留抵税额。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）纳税人获得一次性存量留抵退税后，增量留抵税额为当期期末留抵税额。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5.</w:t>
            </w:r>
            <w:r>
              <w:rPr>
                <w:rFonts w:hint="eastAsia" w:ascii="仿宋_GB2312" w:hAnsi="仿宋_GB2312" w:eastAsia="仿宋_GB2312" w:cs="仿宋_GB2312"/>
                <w:sz w:val="22"/>
                <w:szCs w:val="28"/>
                <w:highlight w:val="none"/>
              </w:rPr>
              <w:t>本公告所称存量留抵税额，区分以下情形确定：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纳税人获得一次性存量留抵退税前，当期期末留抵税额大于或等于2019年3月31日期末留抵税额的，存量留抵税额为2019年3月31日期末留抵税额；当期期末留抵税额小于2019年3月31日期末留抵税额的，存量留抵税额为当期期末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w:t>
            </w: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）纳税人获得一次性存量留抵退税后，存量留抵税额为零。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6.</w:t>
            </w:r>
            <w:r>
              <w:rPr>
                <w:rFonts w:hint="eastAsia" w:ascii="仿宋_GB2312" w:hAnsi="仿宋_GB2312" w:eastAsia="仿宋_GB2312" w:cs="仿宋_GB2312"/>
                <w:sz w:val="22"/>
                <w:szCs w:val="28"/>
                <w:highlight w:val="none"/>
              </w:rPr>
              <w:t>本公告所称中型企业、小型企业和微型企业，按照《中小企业划型标准规定》（工信部联企业〔2011〕300号）和《金融业企业划型标准规定》（银发〔2015〕309号）中的营业收入指标、资产总额指标确定。</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本公告所称大型企业，是指除上述中型企业、小型企业和微型企业外的其他企业。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7.</w:t>
            </w:r>
            <w:r>
              <w:rPr>
                <w:rFonts w:hint="eastAsia" w:ascii="仿宋_GB2312" w:hAnsi="仿宋_GB2312" w:eastAsia="仿宋_GB2312" w:cs="仿宋_GB2312"/>
                <w:sz w:val="22"/>
                <w:szCs w:val="28"/>
                <w:highlight w:val="none"/>
              </w:rPr>
              <w:t>本公告所称制造业等行业企业，是指从事《国民经济行业分类》中“制造业”、“科学研究和技术服务业”、“电力、热力、燃气及水生产和供应业”、“软件和信息技术服务业”、“生态保护和环境治理业”和“交通运输、仓储和邮政业”业务相应发生的增值税销售额占全部增值税销售额的比重超过50%的纳税人。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8.</w:t>
            </w:r>
            <w:r>
              <w:rPr>
                <w:rFonts w:hint="eastAsia" w:ascii="仿宋_GB2312" w:hAnsi="仿宋_GB2312" w:eastAsia="仿宋_GB2312" w:cs="仿宋_GB2312"/>
                <w:sz w:val="22"/>
                <w:szCs w:val="28"/>
                <w:highlight w:val="none"/>
              </w:rPr>
              <w:t>适用本公告政策的纳税人，按照以下公式计算允许退还的留抵税额：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允许退还的增量留抵税额=增量留抵税额×进项构成比例×100%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允许退还的存量留抵税额=存量留抵税额×进项构成比例×100%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进项构成比例，为2019年4月至申请退税前一税款所属期已抵扣的增值税专用发票（含带有“增值税专用发票”字样全面数字化的电子发票、税控机动车销售统一发票）、收费公路通行费增值税电子普通发票、海关进口增值税专用缴款书、解缴税款完税凭证注明的增值税额占同期全部已抵扣进项税额的比重。 </w:t>
            </w:r>
          </w:p>
          <w:p>
            <w:pPr>
              <w:bidi w:val="0"/>
              <w:rPr>
                <w:rFonts w:hint="eastAsia" w:ascii="仿宋_GB2312" w:hAnsi="仿宋_GB2312" w:eastAsia="仿宋_GB2312" w:cs="仿宋_GB2312"/>
                <w:sz w:val="22"/>
                <w:szCs w:val="28"/>
                <w:highlight w:val="none"/>
                <w:lang w:val="en-US" w:eastAsia="zh-CN"/>
              </w:rPr>
            </w:pPr>
            <w:r>
              <w:rPr>
                <w:rFonts w:hint="eastAsia" w:ascii="仿宋_GB2312" w:hAnsi="仿宋_GB2312" w:eastAsia="仿宋_GB2312" w:cs="仿宋_GB2312"/>
                <w:sz w:val="22"/>
                <w:szCs w:val="28"/>
                <w:highlight w:val="none"/>
                <w:lang w:val="en-US" w:eastAsia="zh-CN"/>
              </w:rPr>
              <w:t>9.</w:t>
            </w:r>
            <w:r>
              <w:rPr>
                <w:rFonts w:hint="eastAsia" w:ascii="仿宋_GB2312" w:hAnsi="仿宋_GB2312" w:eastAsia="仿宋_GB2312" w:cs="仿宋_GB2312"/>
                <w:sz w:val="22"/>
                <w:szCs w:val="28"/>
                <w:highlight w:val="none"/>
              </w:rPr>
              <w:t>本公告自2022年4月1日施行。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bidi w:val="0"/>
              <w:jc w:val="center"/>
              <w:rPr>
                <w:rFonts w:hint="default" w:ascii="仿宋_GB2312" w:hAnsi="仿宋_GB2312" w:eastAsia="仿宋_GB2312" w:cs="仿宋_GB2312"/>
                <w:kern w:val="2"/>
                <w:sz w:val="22"/>
                <w:szCs w:val="28"/>
                <w:highlight w:val="none"/>
                <w:lang w:val="en-US" w:eastAsia="zh-CN" w:bidi="ar-SA"/>
              </w:rPr>
            </w:pPr>
            <w:r>
              <w:rPr>
                <w:rFonts w:hint="eastAsia" w:ascii="仿宋_GB2312" w:hAnsi="仿宋_GB2312" w:eastAsia="仿宋_GB2312" w:cs="仿宋_GB2312"/>
                <w:sz w:val="22"/>
                <w:szCs w:val="28"/>
                <w:highlight w:val="none"/>
                <w:lang w:val="en-US" w:eastAsia="zh-CN"/>
              </w:rPr>
              <w:t>2</w:t>
            </w:r>
          </w:p>
        </w:tc>
        <w:tc>
          <w:tcPr>
            <w:tcW w:w="2211" w:type="dxa"/>
            <w:vAlign w:val="center"/>
          </w:tcPr>
          <w:p>
            <w:pPr>
              <w:bidi w:val="0"/>
              <w:rPr>
                <w:rFonts w:hint="eastAsia" w:ascii="仿宋_GB2312" w:hAnsi="仿宋_GB2312" w:eastAsia="仿宋_GB2312" w:cs="仿宋_GB2312"/>
                <w:sz w:val="22"/>
                <w:szCs w:val="28"/>
                <w:highlight w:val="none"/>
                <w:lang w:eastAsia="zh-CN"/>
              </w:rPr>
            </w:pPr>
            <w:r>
              <w:rPr>
                <w:rFonts w:hint="eastAsia" w:ascii="仿宋_GB2312" w:hAnsi="仿宋_GB2312" w:eastAsia="仿宋_GB2312" w:cs="仿宋_GB2312"/>
                <w:sz w:val="22"/>
                <w:szCs w:val="28"/>
                <w:highlight w:val="none"/>
                <w:lang w:eastAsia="zh-CN"/>
              </w:rPr>
              <w:t>《</w:t>
            </w:r>
            <w:r>
              <w:rPr>
                <w:rFonts w:hint="eastAsia" w:ascii="仿宋_GB2312" w:hAnsi="仿宋_GB2312" w:eastAsia="仿宋_GB2312" w:cs="仿宋_GB2312"/>
                <w:sz w:val="22"/>
                <w:szCs w:val="28"/>
                <w:highlight w:val="none"/>
              </w:rPr>
              <w:t>关于下达2022年支持小微企业留抵退税有关专项资金预算的通知</w:t>
            </w:r>
            <w:r>
              <w:rPr>
                <w:rFonts w:hint="eastAsia" w:ascii="仿宋_GB2312" w:hAnsi="仿宋_GB2312" w:eastAsia="仿宋_GB2312" w:cs="仿宋_GB2312"/>
                <w:sz w:val="22"/>
                <w:szCs w:val="28"/>
                <w:highlight w:val="none"/>
                <w:lang w:eastAsia="zh-CN"/>
              </w:rPr>
              <w:t>》</w:t>
            </w:r>
          </w:p>
          <w:p>
            <w:pPr>
              <w:bidi w:val="0"/>
              <w:rPr>
                <w:rFonts w:hint="eastAsia" w:ascii="仿宋_GB2312" w:hAnsi="仿宋_GB2312" w:eastAsia="仿宋_GB2312" w:cs="仿宋_GB2312"/>
                <w:sz w:val="22"/>
                <w:szCs w:val="28"/>
                <w:highlight w:val="none"/>
                <w:lang w:val="en-US" w:eastAsia="zh-CN"/>
              </w:rPr>
            </w:pPr>
            <w:r>
              <w:rPr>
                <w:rFonts w:hint="eastAsia" w:ascii="仿宋_GB2312" w:hAnsi="仿宋_GB2312" w:eastAsia="仿宋_GB2312" w:cs="仿宋_GB2312"/>
                <w:sz w:val="22"/>
                <w:szCs w:val="28"/>
                <w:highlight w:val="none"/>
                <w:lang w:eastAsia="zh-CN"/>
              </w:rPr>
              <w:t>（</w:t>
            </w:r>
            <w:r>
              <w:rPr>
                <w:rFonts w:hint="eastAsia" w:ascii="仿宋_GB2312" w:hAnsi="仿宋_GB2312" w:eastAsia="仿宋_GB2312" w:cs="仿宋_GB2312"/>
                <w:sz w:val="22"/>
                <w:szCs w:val="28"/>
                <w:highlight w:val="none"/>
              </w:rPr>
              <w:t>财预〔2022〕34号</w:t>
            </w:r>
            <w:r>
              <w:rPr>
                <w:rFonts w:hint="eastAsia" w:ascii="仿宋_GB2312" w:hAnsi="仿宋_GB2312" w:eastAsia="仿宋_GB2312" w:cs="仿宋_GB2312"/>
                <w:sz w:val="22"/>
                <w:szCs w:val="28"/>
                <w:highlight w:val="none"/>
                <w:lang w:eastAsia="zh-CN"/>
              </w:rPr>
              <w:t>）</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1.</w:t>
            </w:r>
            <w:r>
              <w:rPr>
                <w:rFonts w:hint="eastAsia" w:ascii="仿宋_GB2312" w:hAnsi="仿宋_GB2312" w:eastAsia="仿宋_GB2312" w:cs="仿宋_GB2312"/>
                <w:sz w:val="22"/>
                <w:szCs w:val="28"/>
                <w:highlight w:val="none"/>
              </w:rPr>
              <w:t>为支持地方落实好退税减税政策，中央财政安排专项资金用于弥补地方政策性减收，缓解财政收支矛盾，促进县区财政平稳运行。现下达2022年支持小微企业留抵退税有关专项资金预算指标（资金额度、科目、项目代码详见附件），用于支持小微企业留抵退税。具体包括新出台小微企业留抵退税和原有政策实施的小微企业制度性留抵退税。年终根据地方实际留抵退税需要进行清算。其他新出台留抵退税政策专项资金和其他退税减税降费专项资金另行下达。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lang w:val="en-US" w:eastAsia="zh-CN"/>
              </w:rPr>
              <w:t>2.</w:t>
            </w:r>
            <w:r>
              <w:rPr>
                <w:rFonts w:hint="eastAsia" w:ascii="仿宋_GB2312" w:hAnsi="仿宋_GB2312" w:eastAsia="仿宋_GB2312" w:cs="仿宋_GB2312"/>
                <w:sz w:val="22"/>
                <w:szCs w:val="28"/>
                <w:highlight w:val="none"/>
              </w:rPr>
              <w:t>该项补助纳入直达资金范围，省市县均可留用，标识为“01中央直达资金”，该标识贯穿资金分配、拨付、使用等整个环节，且保持不变。</w:t>
            </w:r>
          </w:p>
          <w:p>
            <w:pPr>
              <w:bidi w:val="0"/>
              <w:rPr>
                <w:rFonts w:hint="eastAsia" w:ascii="仿宋_GB2312" w:hAnsi="仿宋_GB2312" w:eastAsia="仿宋_GB2312" w:cs="仿宋_GB2312"/>
                <w:sz w:val="22"/>
                <w:szCs w:val="28"/>
                <w:highlight w:val="none"/>
                <w:lang w:val="en-US" w:eastAsia="zh-CN"/>
              </w:rPr>
            </w:pPr>
            <w:r>
              <w:rPr>
                <w:rFonts w:hint="eastAsia" w:ascii="仿宋_GB2312" w:hAnsi="仿宋_GB2312" w:eastAsia="仿宋_GB2312" w:cs="仿宋_GB2312"/>
                <w:sz w:val="22"/>
                <w:szCs w:val="28"/>
                <w:highlight w:val="none"/>
                <w:lang w:val="en-US" w:eastAsia="zh-CN"/>
              </w:rPr>
              <w:t>3.</w:t>
            </w:r>
            <w:r>
              <w:rPr>
                <w:rFonts w:hint="eastAsia" w:ascii="仿宋_GB2312" w:hAnsi="仿宋_GB2312" w:eastAsia="仿宋_GB2312" w:cs="仿宋_GB2312"/>
                <w:sz w:val="22"/>
                <w:szCs w:val="28"/>
                <w:highlight w:val="none"/>
              </w:rPr>
              <w:t>在下达直达资金时，应单独下达预算指标文件，并保持中央财政直达资金标识不变，同时在指标管理系统中及时登录有关指标和直达资金标识，导入直达资金监控系统，确保数据真实、账目清晰、流向明确。将中央财政直达资金分解落实到基层财政部门时，对于资金来源既包含中央财政直达资金又包含其他资金的，应在预算指标文件、指标管理系统中按资金明细来源分别列示，在指标系统中分别登录，并将中央财政直达资金部分导入直达资金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spacing w:line="240" w:lineRule="auto"/>
              <w:jc w:val="center"/>
              <w:rPr>
                <w:rFonts w:hint="default" w:ascii="仿宋_GB2312" w:hAnsi="仿宋" w:eastAsia="仿宋_GB2312"/>
                <w:bCs/>
                <w:color w:val="000000"/>
                <w:sz w:val="22"/>
                <w:szCs w:val="22"/>
                <w:highlight w:val="none"/>
                <w:lang w:val="en-US" w:eastAsia="zh-CN"/>
              </w:rPr>
            </w:pPr>
            <w:r>
              <w:rPr>
                <w:rFonts w:hint="eastAsia" w:ascii="仿宋_GB2312" w:hAnsi="仿宋" w:eastAsia="仿宋_GB2312"/>
                <w:bCs/>
                <w:color w:val="000000"/>
                <w:sz w:val="22"/>
                <w:szCs w:val="22"/>
                <w:highlight w:val="none"/>
                <w:lang w:val="en-US" w:eastAsia="zh-CN"/>
              </w:rPr>
              <w:t>3</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税务总局关于进一步实施小微企业所得税优惠政策的公告》（财政部 税务总局公告2022年第13号）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1.对小型微利企业年应纳税所得额超过100万元但不超过300万元的部分，减按25%计入应纳税所得额，按20%的税率缴纳企业所得税。</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2.本公告所称小型微利企业，是指从事国家非限制和禁止行业，且同时符合年度应纳税所得额不超过300万元、从业人数不超过300人、资产总额不超过5000万元等三个条件的企业。</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从业人数，包括与企业建立劳动关系的职工人数和企业接受的劳务派遣用工人数。所称从业人数和资产总额指标，应按企业全年的季度平均值确定。年度中间开业或者终止经营活动的，以其实际经营期作为一个纳税年度确定上述相关指标。</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spacing w:line="240" w:lineRule="auto"/>
              <w:jc w:val="center"/>
              <w:rPr>
                <w:rFonts w:hint="eastAsia" w:ascii="仿宋_GB2312" w:hAnsi="仿宋" w:eastAsia="仿宋_GB2312"/>
                <w:b/>
                <w:color w:val="000000"/>
                <w:sz w:val="22"/>
                <w:szCs w:val="22"/>
                <w:lang w:eastAsia="zh-CN"/>
              </w:rPr>
            </w:pPr>
            <w:r>
              <w:rPr>
                <w:rFonts w:hint="eastAsia" w:ascii="仿宋_GB2312" w:hAnsi="仿宋" w:eastAsia="仿宋_GB2312"/>
                <w:bCs/>
                <w:color w:val="000000"/>
                <w:sz w:val="22"/>
                <w:szCs w:val="22"/>
                <w:lang w:val="en-US" w:eastAsia="zh-CN"/>
              </w:rPr>
              <w:t>4</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《国家税务总局关于进一步实施小微企业“六税两费”减免政策有关征管问题的公告》（国家税务总局公告2022年第3号）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1.关于小型微利企业“六税两费”减免政策的适用。</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按规定办理首次汇算清缴后确定不属于小型微利企业的一般纳税人，自办理汇算清缴的次月1日至次年6月30日，不得再申报享受“六税两费”减免优惠；按次申报的，自首次办理汇算清缴确定不属于小型微利企业之日起至次年6月30日，不得再申报享受“六税两费”减免优惠。</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新设立企业按规定办理首次汇算清缴后，按规定申报当月及之前的“六税两费”的，依据首次汇算清缴结果确定是否可申报享受减免优惠。</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新设立企业按规定办理首次汇算清缴申报前，已按规定申报缴纳“六税两费”的，不再根据首次汇算清缴结果进行更正。</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登记为增值税一般纳税人的小型微利企业、新设立企业，逾期办理或更正汇算清缴申报的，应当依据逾期办理或更正申报的结果，按照本条第（一）项、第（二）项规定的“六税两费”减免税期间申报享受减免优惠，并应当对“六税两费”申报进行相应更正。</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 关于增值税小规模纳税人转为一般纳税人时“六税两费”减免政策的适用。增值税小规模纳税人按规定登记为一般纳税人的，自一般纳税人生效之日起不再按照增值税小规模纳税人适用“六税两费”减免政策。增值税年应税销售额超过小规模纳税人标准应当登记为一般纳税人而未登记，经税务机关通知，逾期仍不办理登记的，自逾期次月起不再按照增值税小规模纳税人申报享受“六税两费”减免优惠。上述纳税人如果符合本公告第一条规定的小型微利企业和新设立企业的情形，或登记为个体工商户，仍可申报享受“六税两费”减免优惠。</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3.关于纳税人未及时申报享受“六税两费”减免优惠的处理方式。纳税人符合条件但未及时申报享受“六税两费”减免优惠的，可依法申请抵减以后纳税期的应纳税费款或者申请退还。</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4.本公告执行期限为2022年1月1日至2024年12月31日。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spacing w:line="240" w:lineRule="auto"/>
              <w:jc w:val="center"/>
              <w:rPr>
                <w:rFonts w:hint="eastAsia" w:ascii="仿宋_GB2312" w:hAnsi="仿宋" w:eastAsia="仿宋_GB2312"/>
                <w:bCs/>
                <w:color w:val="000000"/>
                <w:sz w:val="22"/>
                <w:szCs w:val="22"/>
                <w:lang w:eastAsia="zh-CN"/>
              </w:rPr>
            </w:pPr>
            <w:r>
              <w:rPr>
                <w:rFonts w:hint="eastAsia" w:ascii="仿宋_GB2312" w:hAnsi="仿宋" w:eastAsia="仿宋_GB2312"/>
                <w:bCs/>
                <w:color w:val="000000"/>
                <w:sz w:val="22"/>
                <w:szCs w:val="22"/>
                <w:lang w:val="en-US" w:eastAsia="zh-CN"/>
              </w:rPr>
              <w:t>5</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《财政部 税务总局关于促进服务业领域困难行业纾困发展有关增值税政策的公告》（财政部 税务总局公告2022年第 11号）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1. 《财政部 税务总局 海关总署关于深化增值税改革有关政策的公告》（财政部 税务总局 海关总署公告2019年39号）第七条和《财政部 税务总局关于明确生活性服务业增值税加计抵减政策的公告》（财政部 税务总局公告2019年第87号）规定的生产、生活性服务业增值税加计抵减政策，执行期限延长至2022年12月31日。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2.自2022年1月1日至2022年12月31日，航空和铁路运输企业分支机构暂停预缴增值税。2022年2月纳税申报期至文件发布之日已预缴的增值税予以退还。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自2022年1月1日至2022年12月31日，对纳税人提供公共交通运输服务取得的收入，免征增值税。公共交通运输服务的具体范围，按照《营业税改征增值税试点有关事项的规定》（财税〔2016〕36号印发）执行。在本公告发布之前已征收入库的按上述规定应予免征的增值税税款，可抵减纳税人以后月份应缴纳的增值税税款或者办理税款退库。已向购买方开具增值税专用发票的，应将专用发票追回后方可办理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spacing w:line="240" w:lineRule="auto"/>
              <w:jc w:val="center"/>
              <w:rPr>
                <w:rFonts w:hint="eastAsia" w:ascii="仿宋_GB2312" w:hAnsi="仿宋" w:eastAsia="仿宋_GB2312"/>
                <w:bCs/>
                <w:color w:val="000000"/>
                <w:sz w:val="22"/>
                <w:szCs w:val="22"/>
                <w:lang w:eastAsia="zh-CN"/>
              </w:rPr>
            </w:pPr>
            <w:r>
              <w:rPr>
                <w:rFonts w:hint="eastAsia" w:ascii="仿宋_GB2312" w:hAnsi="仿宋" w:eastAsia="仿宋_GB2312"/>
                <w:bCs/>
                <w:color w:val="000000"/>
                <w:sz w:val="22"/>
                <w:szCs w:val="22"/>
                <w:lang w:val="en-US" w:eastAsia="zh-CN"/>
              </w:rPr>
              <w:t>6</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税务总局关于中小微企业设备器具所得税税前扣除有关政策的公告》（财政部 税务总局公告2022年第12号）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1.中小微企业在2022年1月1日至2022年12月31日期间新购置的设备、器具，单位价值在500万元以上的，按照单位价值的一定比例自愿选择在企业所得税税前扣除。其中，企业所得税法实施条例规定最低折旧年限为3年的设备器具，单位价值的100%可在当年一次性税前扣除；最低折旧年限为4年、5年、10年的，单位价值的50%可在当年一次性税前扣除，其余50%按规定在剩余年度计算折旧进行税前扣除。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企业选择适用上述政策当年不足扣除形成的亏损，可在以后5个纳税年度结转弥补，享受其他延长亏损结转年限政策的企业可按现行规定执行。</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2.中小微企业可按季（月）在预缴申报时享受上述政策。本公告发布前企业在2022年已购置的设备、器具，可在本公告发布后的预缴申报、年度汇算清缴时享受。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3.中小微企业可根据自身生产经营核算需要自行选择享受上述政策，当年度未选择享受的，以后年度不得再变更享受。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679" w:type="dxa"/>
            <w:vAlign w:val="center"/>
          </w:tcPr>
          <w:p>
            <w:pPr>
              <w:spacing w:line="240" w:lineRule="auto"/>
              <w:jc w:val="center"/>
              <w:rPr>
                <w:rFonts w:hint="eastAsia" w:ascii="仿宋_GB2312" w:hAnsi="仿宋" w:eastAsia="仿宋_GB2312"/>
                <w:bCs/>
                <w:color w:val="000000"/>
                <w:sz w:val="22"/>
                <w:szCs w:val="22"/>
                <w:lang w:eastAsia="zh-CN"/>
              </w:rPr>
            </w:pPr>
            <w:r>
              <w:rPr>
                <w:rFonts w:hint="eastAsia" w:ascii="仿宋_GB2312" w:hAnsi="仿宋" w:eastAsia="仿宋_GB2312"/>
                <w:bCs/>
                <w:color w:val="000000"/>
                <w:sz w:val="22"/>
                <w:szCs w:val="22"/>
                <w:lang w:val="en-US" w:eastAsia="zh-CN"/>
              </w:rPr>
              <w:t>7</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税务总局关于进一步实施小微企业“六税两费”减免政策的公告》（财政部 税务总局公告2022年第 10 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1.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3.本公告执行期限为2022年1月1日至2024年12月31日。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pPr>
              <w:spacing w:line="240" w:lineRule="auto"/>
              <w:jc w:val="center"/>
              <w:rPr>
                <w:rFonts w:hint="eastAsia" w:ascii="仿宋_GB2312" w:hAnsi="仿宋" w:eastAsia="仿宋_GB2312"/>
                <w:b/>
                <w:color w:val="000000"/>
                <w:sz w:val="22"/>
                <w:szCs w:val="22"/>
                <w:lang w:eastAsia="zh-CN"/>
              </w:rPr>
            </w:pPr>
            <w:r>
              <w:rPr>
                <w:rFonts w:hint="eastAsia" w:ascii="仿宋_GB2312" w:hAnsi="仿宋" w:eastAsia="仿宋_GB2312"/>
                <w:bCs/>
                <w:color w:val="000000"/>
                <w:sz w:val="22"/>
                <w:szCs w:val="22"/>
                <w:lang w:val="en-US" w:eastAsia="zh-CN"/>
              </w:rPr>
              <w:t>8</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《国家发展改革委等12部门关于印发促进工业经济平稳增长的若干政策的通知》（发改产业〔2022〕273号）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 加大中小微企业设备器具税前扣除力度，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适用政策的中小微企业范围：一是信息传输业、建筑业、租赁和商务服务业，标准为从业人员2000人以下，或营业收入10亿元以下，或资产总额12亿元以下；二是房地产开发经营，标准为营业收入20亿元以下或资产总额1亿元以下；三是其他行业，标准为从业人员1000人以下或营业收入4亿元以下。</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 扩大地方“六税两费”减免政策适用主体范围，加大小型微利企业所得税减免力度。</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3.降低企业社保负担，2022年延续实施阶段性降低失业保险、工伤保险费率政策。</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4. 2022年人民银行对符合条件的地方法人银行，按普惠小微贷款余额增量的1%提供激励资金；符合条件的地方法人银行发放普惠小微信用贷款，可向人民银行申请再贷款优惠资金支持。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pPr>
              <w:spacing w:line="240" w:lineRule="auto"/>
              <w:jc w:val="center"/>
              <w:rPr>
                <w:rFonts w:hint="eastAsia" w:ascii="仿宋_GB2312" w:hAnsi="仿宋" w:eastAsia="仿宋_GB2312"/>
                <w:bCs/>
                <w:color w:val="000000"/>
                <w:sz w:val="22"/>
                <w:szCs w:val="22"/>
                <w:lang w:eastAsia="zh-CN"/>
              </w:rPr>
            </w:pPr>
            <w:r>
              <w:rPr>
                <w:rFonts w:hint="eastAsia" w:ascii="仿宋_GB2312" w:hAnsi="仿宋" w:eastAsia="仿宋_GB2312"/>
                <w:bCs/>
                <w:color w:val="000000"/>
                <w:sz w:val="22"/>
                <w:szCs w:val="22"/>
                <w:lang w:val="en-US" w:eastAsia="zh-CN"/>
              </w:rPr>
              <w:t>9</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工业和信息化部 科技部 发展改革委关于2022年新能源汽车推广应用财政补贴政策的通知》（财建〔2021〕466号）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1.2022年，新能源汽车补贴标准在2021年基础上退坡30%；城市公交、道路客运、出租（含网约车）、环卫、城市物流配送、邮政快递、民航机场以及党政机关公务领域符合要求的车辆，补贴标准在2021年基础上退坡20%。</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 本通知从2022年1月1日起实施。</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 本通知明确的2022年新能源汽车购置补贴政策于2022年12月31日终止，2022年12月31日之后上牌的车辆不再给予补贴。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pPr>
              <w:spacing w:line="240" w:lineRule="auto"/>
              <w:jc w:val="center"/>
              <w:rPr>
                <w:rFonts w:hint="default" w:ascii="仿宋_GB2312" w:hAnsi="仿宋" w:eastAsia="仿宋_GB2312"/>
                <w:bCs/>
                <w:color w:val="000000"/>
                <w:sz w:val="22"/>
                <w:szCs w:val="22"/>
                <w:lang w:val="en-US" w:eastAsia="zh-CN"/>
              </w:rPr>
            </w:pPr>
            <w:bookmarkStart w:id="0" w:name="_Hlk97189579"/>
            <w:r>
              <w:rPr>
                <w:rFonts w:hint="eastAsia" w:ascii="仿宋_GB2312" w:hAnsi="仿宋" w:eastAsia="仿宋_GB2312"/>
                <w:bCs/>
                <w:color w:val="000000"/>
                <w:sz w:val="22"/>
                <w:szCs w:val="22"/>
                <w:lang w:val="en-US" w:eastAsia="zh-CN"/>
              </w:rPr>
              <w:t>10</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《国家税务总局 财政部关于延续实施制造业中小微企业延缓缴纳部分税费有关事项的公告 》（国家税务总局 财政部公告2022年第2号）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 继续延缓缴纳2021年第四季度部分税费。《国家税务总局 财政部关于制造业中小微企业延缓缴纳2021年第四季度部分税费有关事项的公告》（2021年第30号）规定的制造业中小微企业延缓缴纳2021年第四季度部分税费政策，缓缴期限继续延长6个月。上述企业2021年第四季度延缓缴纳的税费在2022年1月1日后本公告施行前已缴纳入库的，可自愿选择申请办理退税（费）并享受延续缓缴政策。</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 延缓缴纳2022年第一季度、第二季度部分税费。</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符合本公告规定条件的制造业中小微企业，在依法办理纳税申报后，制造业中型企业可以延缓缴纳本公告规定的各项税费金额的50%，制造业小微企业可以延缓缴纳本公告规定的全部税费，延缓的期限为6个月。延缓期限届满，纳税人应依法缴纳相应月份或者季度的税费。</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本公告所称制造业中型企业是指国民经济行业分类中行业门类为制造业，且年销售额2000万元以上（含2000万元）4亿元以下（不含4亿元）的企业。制造业小微企业是指国民经济行业分类中行业门类为制造业，且年销售额2000万元以下（不含2000万元）的企业。</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3）延缓缴纳的税费包括所属期为2022年1月、2月、3月、4月、5月、6月（按月缴纳）或者2022年第一季度、第二季度（按季缴纳）的企业所得税、个人所得税、国内增值税、国内消费税及附征的城市维护建设税、教育费附加、地方教育附加，不包括代扣代缴、代收代缴以及向税务机关申请代开发票时缴纳的税费。对于在本公告施行前已缴纳入库的所属期为2022年1月的上述税费，企业可自愿选择申请办理退税（费）并享受缓缴政策。</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pPr>
              <w:spacing w:line="240" w:lineRule="auto"/>
              <w:jc w:val="center"/>
              <w:rPr>
                <w:rFonts w:hint="default" w:ascii="仿宋_GB2312" w:hAnsi="仿宋" w:eastAsia="仿宋_GB2312"/>
                <w:bCs/>
                <w:color w:val="000000"/>
                <w:sz w:val="22"/>
                <w:szCs w:val="22"/>
                <w:lang w:val="en-US" w:eastAsia="zh-CN"/>
              </w:rPr>
            </w:pPr>
            <w:r>
              <w:rPr>
                <w:rFonts w:hint="eastAsia" w:ascii="仿宋_GB2312" w:hAnsi="仿宋" w:eastAsia="仿宋_GB2312"/>
                <w:bCs/>
                <w:color w:val="000000"/>
                <w:sz w:val="22"/>
                <w:szCs w:val="22"/>
                <w:lang w:val="en-US" w:eastAsia="zh-CN"/>
              </w:rPr>
              <w:t>11</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税务总局关于延长部分税收优惠政策执行期限的公告》（财政部 税务总局公告2022年第 4 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 科技部 教育部关于科技企业孵化器 大学科技园和众创空间税收政策的通知》（财税〔2018〕120号）、《财政部 税务总局关于继续对城市公交站场 道路客运站场 城市轨道交通系统减免城镇土地使用税优惠政策的通知》（财税〔2019〕11号）、《财政部 税务总局关于继续实行农产品批发市场 农贸市场房产税 城镇土地使用税优惠政策的通知》（财税〔2019〕12号）、《财政部 税务总局关于高校学生公寓房产税 印花税政策的通知》（财税〔2019〕14号）、《财政部 税务总局 退役军人部关于进一步扶持自主就业退役士兵创业就业有关税收政策的通知》（财税〔2019〕21号）、《财政部 税务总局 国家发展改革委 生态环境部关于从事污染防治的第三方企业所得税政策问题的公告》（财政部 税务总局 国家发展改革委 生态环境部公告2019年第60号）、《财政部 税务总局关于支持新型冠状病毒感染的肺炎疫情防控有关个人所得税政策的公告》（财政部 税务总局公告2020年第10号）中规定的税收优惠政策，执行期限延长至2023年12月31日。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pPr>
              <w:spacing w:line="240" w:lineRule="auto"/>
              <w:jc w:val="center"/>
              <w:rPr>
                <w:rFonts w:hint="default" w:ascii="仿宋_GB2312" w:hAnsi="仿宋" w:eastAsia="仿宋_GB2312"/>
                <w:bCs/>
                <w:color w:val="000000"/>
                <w:sz w:val="22"/>
                <w:szCs w:val="22"/>
                <w:lang w:val="en-US" w:eastAsia="zh-CN"/>
              </w:rPr>
            </w:pPr>
            <w:r>
              <w:rPr>
                <w:rFonts w:hint="eastAsia" w:ascii="仿宋_GB2312" w:hAnsi="仿宋" w:eastAsia="仿宋_GB2312"/>
                <w:bCs/>
                <w:color w:val="000000"/>
                <w:sz w:val="22"/>
                <w:szCs w:val="22"/>
                <w:lang w:val="en-US" w:eastAsia="zh-CN"/>
              </w:rPr>
              <w:t>12</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交通运输部关于调整农村客运、出租车油价补贴政策的通知》（财建〔2022〕1号）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1.“十四五”期间各省城市交通发展奖励资金涨价补贴中的30%由各地用于支持出租车加快电动化，70%由各地统筹用于支持城市交通领域新能源汽车运营。同时，各省从当地城市交通发展奖励资金中，给予本省国家公交都市建设示范城市每城市每年500万元专项奖励资金，给予本省绿色货运配送示范城市每城市每年300万元专项奖励资金，用于支持示范创建工作。</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 2020年农村客运、出租车油价补贴政策延用2015-2019年的补贴政策，其中涨价补贴以2014年实际执行数作为基数，由地方统筹部分不低于60%，用于公共交通发展、新能源出租车和农村客运补贴、水路客运行业结构调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79" w:type="dxa"/>
            <w:vAlign w:val="center"/>
          </w:tcPr>
          <w:p>
            <w:pPr>
              <w:spacing w:line="240" w:lineRule="auto"/>
              <w:jc w:val="center"/>
              <w:rPr>
                <w:rFonts w:hint="eastAsia" w:ascii="仿宋_GB2312" w:hAnsi="仿宋" w:eastAsia="仿宋_GB2312"/>
                <w:bCs/>
                <w:color w:val="000000"/>
                <w:sz w:val="22"/>
                <w:szCs w:val="22"/>
                <w:lang w:eastAsia="zh-CN"/>
              </w:rPr>
            </w:pPr>
            <w:r>
              <w:rPr>
                <w:rFonts w:ascii="仿宋_GB2312" w:hAnsi="仿宋" w:eastAsia="仿宋_GB2312"/>
                <w:bCs/>
                <w:color w:val="000000"/>
                <w:sz w:val="22"/>
                <w:szCs w:val="22"/>
              </w:rPr>
              <w:t>1</w:t>
            </w:r>
            <w:r>
              <w:rPr>
                <w:rFonts w:hint="eastAsia" w:ascii="仿宋_GB2312" w:hAnsi="仿宋" w:eastAsia="仿宋_GB2312"/>
                <w:bCs/>
                <w:color w:val="000000"/>
                <w:sz w:val="22"/>
                <w:szCs w:val="22"/>
                <w:lang w:val="en-US" w:eastAsia="zh-CN"/>
              </w:rPr>
              <w:t>3</w:t>
            </w:r>
          </w:p>
        </w:tc>
        <w:tc>
          <w:tcPr>
            <w:tcW w:w="2211"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《财政部 税务总局关于基础设施领域不动产投资信托基金（REITs）试点税收政策的公告》（财政部 税务总局公告2022年第 3 号）</w:t>
            </w:r>
          </w:p>
        </w:tc>
        <w:tc>
          <w:tcPr>
            <w:tcW w:w="7479" w:type="dxa"/>
            <w:vAlign w:val="center"/>
          </w:tcPr>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1. 设立基础设施REITs前，原始权益人向项目公司划转基础设施资产相应取得项目公司股权，适用特殊性税务处理，即项目公司取得基础设施资产的计税基础，以基础设施资产的原计税基础确定；原始权益人取得项目公司股权的计税基础，以基础设施资产的原计税基础确定。原始权益人和项目公司不确认所得，不征收企业所得税。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2.基础设施REITs设立阶段，原始权益人向基础设施REITs转让项目公司股权实现的资产转让评估增值，当期可暂不缴纳企业所得税，允许递延至基础设施REITs完成募资并支付股权转让价款后缴纳。其中，对原始权益人按照战略配售要求自持的基础设施REITs份额对应的资产转让评估增值，允许递延至实际转让时缴纳企业所得税。原始权益人通过二级市场认购（增持）该基础设施REITs份额，按照先进先出原则认定优先处置战略配售份额。</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 xml:space="preserve">3. 本公告适用范围为证监会、发展改革委根据有关规定组织开展的基础设施REITs试点项目。 </w:t>
            </w:r>
          </w:p>
          <w:p>
            <w:pPr>
              <w:bidi w:val="0"/>
              <w:rPr>
                <w:rFonts w:hint="eastAsia" w:ascii="仿宋_GB2312" w:hAnsi="仿宋_GB2312" w:eastAsia="仿宋_GB2312" w:cs="仿宋_GB2312"/>
                <w:sz w:val="22"/>
                <w:szCs w:val="28"/>
                <w:highlight w:val="none"/>
              </w:rPr>
            </w:pPr>
            <w:r>
              <w:rPr>
                <w:rFonts w:hint="eastAsia" w:ascii="仿宋_GB2312" w:hAnsi="仿宋_GB2312" w:eastAsia="仿宋_GB2312" w:cs="仿宋_GB2312"/>
                <w:sz w:val="22"/>
                <w:szCs w:val="28"/>
                <w:highlight w:val="none"/>
              </w:rPr>
              <w:t>4.本公告自2021年1月1日起实施。</w:t>
            </w:r>
          </w:p>
        </w:tc>
      </w:tr>
    </w:tbl>
    <w:p>
      <w:pPr>
        <w:pStyle w:val="2"/>
        <w:ind w:left="0" w:leftChars="0" w:firstLine="0" w:firstLineChars="0"/>
      </w:pPr>
    </w:p>
    <w:sectPr>
      <w:footerReference r:id="rId5" w:type="default"/>
      <w:pgSz w:w="11906" w:h="16838"/>
      <w:pgMar w:top="567" w:right="720" w:bottom="567"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021"/>
    <w:rsid w:val="0001092D"/>
    <w:rsid w:val="00012E38"/>
    <w:rsid w:val="00024B23"/>
    <w:rsid w:val="00025449"/>
    <w:rsid w:val="00071299"/>
    <w:rsid w:val="00081C8D"/>
    <w:rsid w:val="000D33EE"/>
    <w:rsid w:val="00110C9E"/>
    <w:rsid w:val="00141E37"/>
    <w:rsid w:val="002512A7"/>
    <w:rsid w:val="002A5B75"/>
    <w:rsid w:val="002E4DB7"/>
    <w:rsid w:val="00301021"/>
    <w:rsid w:val="00315E23"/>
    <w:rsid w:val="00350277"/>
    <w:rsid w:val="0036279D"/>
    <w:rsid w:val="003A25AD"/>
    <w:rsid w:val="003B559F"/>
    <w:rsid w:val="004113CC"/>
    <w:rsid w:val="0045799E"/>
    <w:rsid w:val="004C688C"/>
    <w:rsid w:val="004F1C7F"/>
    <w:rsid w:val="005153EB"/>
    <w:rsid w:val="00517C01"/>
    <w:rsid w:val="0054267C"/>
    <w:rsid w:val="00560DFE"/>
    <w:rsid w:val="00564185"/>
    <w:rsid w:val="005702DA"/>
    <w:rsid w:val="005C18F3"/>
    <w:rsid w:val="005D2404"/>
    <w:rsid w:val="005D2572"/>
    <w:rsid w:val="005E7284"/>
    <w:rsid w:val="00603F52"/>
    <w:rsid w:val="00605DC8"/>
    <w:rsid w:val="00612D6B"/>
    <w:rsid w:val="0068701F"/>
    <w:rsid w:val="006941C1"/>
    <w:rsid w:val="006C1124"/>
    <w:rsid w:val="006E4570"/>
    <w:rsid w:val="006F1740"/>
    <w:rsid w:val="00757E09"/>
    <w:rsid w:val="00764279"/>
    <w:rsid w:val="00787418"/>
    <w:rsid w:val="007B1C12"/>
    <w:rsid w:val="007B498A"/>
    <w:rsid w:val="007C392C"/>
    <w:rsid w:val="007E4828"/>
    <w:rsid w:val="00831EB1"/>
    <w:rsid w:val="008A3380"/>
    <w:rsid w:val="008F597F"/>
    <w:rsid w:val="00961964"/>
    <w:rsid w:val="00963B6B"/>
    <w:rsid w:val="00A514B8"/>
    <w:rsid w:val="00A66EFB"/>
    <w:rsid w:val="00AB6B99"/>
    <w:rsid w:val="00AC2BC8"/>
    <w:rsid w:val="00B106B3"/>
    <w:rsid w:val="00BE660A"/>
    <w:rsid w:val="00C545D8"/>
    <w:rsid w:val="00C97F05"/>
    <w:rsid w:val="00D132EA"/>
    <w:rsid w:val="00D91923"/>
    <w:rsid w:val="00E215C8"/>
    <w:rsid w:val="00E5056E"/>
    <w:rsid w:val="00E71EDC"/>
    <w:rsid w:val="00E770FB"/>
    <w:rsid w:val="00E8441C"/>
    <w:rsid w:val="00E97EEA"/>
    <w:rsid w:val="00EA67FF"/>
    <w:rsid w:val="00F11CE7"/>
    <w:rsid w:val="00FA1C20"/>
    <w:rsid w:val="00FB3775"/>
    <w:rsid w:val="00FC351D"/>
    <w:rsid w:val="00FC437E"/>
    <w:rsid w:val="00FC4497"/>
    <w:rsid w:val="0BC1013B"/>
    <w:rsid w:val="0BE430C0"/>
    <w:rsid w:val="0E0804EF"/>
    <w:rsid w:val="16CD2278"/>
    <w:rsid w:val="175E7968"/>
    <w:rsid w:val="189F2389"/>
    <w:rsid w:val="1A4B0C1E"/>
    <w:rsid w:val="1C0B60EE"/>
    <w:rsid w:val="30B35628"/>
    <w:rsid w:val="34B353CE"/>
    <w:rsid w:val="36427387"/>
    <w:rsid w:val="3A1543F4"/>
    <w:rsid w:val="4B880EDC"/>
    <w:rsid w:val="4FC172FD"/>
    <w:rsid w:val="55E47F6D"/>
    <w:rsid w:val="565527FD"/>
    <w:rsid w:val="5E341873"/>
    <w:rsid w:val="5E867787"/>
    <w:rsid w:val="61D301F8"/>
    <w:rsid w:val="692E7907"/>
    <w:rsid w:val="69A94F4C"/>
    <w:rsid w:val="6FE03674"/>
    <w:rsid w:val="72B96180"/>
    <w:rsid w:val="74D51F06"/>
    <w:rsid w:val="768F0AD3"/>
    <w:rsid w:val="769A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jc w:val="both"/>
    </w:pPr>
    <w:rPr>
      <w:rFonts w:ascii="Calibri" w:hAnsi="Calibri" w:eastAsia="宋体" w:cs="Times New Roman"/>
      <w:kern w:val="2"/>
      <w:sz w:val="21"/>
      <w:szCs w:val="24"/>
      <w:lang w:val="en-US" w:eastAsia="zh-CN" w:bidi="ar-SA"/>
    </w:rPr>
  </w:style>
  <w:style w:type="paragraph" w:styleId="4">
    <w:name w:val="heading 1"/>
    <w:basedOn w:val="1"/>
    <w:next w:val="1"/>
    <w:link w:val="25"/>
    <w:qFormat/>
    <w:uiPriority w:val="0"/>
    <w:pPr>
      <w:keepNext/>
      <w:keepLines/>
      <w:spacing w:before="340" w:after="330" w:line="578" w:lineRule="atLeast"/>
      <w:outlineLvl w:val="0"/>
    </w:pPr>
    <w:rPr>
      <w:b/>
      <w:bCs/>
      <w:kern w:val="44"/>
      <w:sz w:val="44"/>
      <w:szCs w:val="44"/>
    </w:rPr>
  </w:style>
  <w:style w:type="paragraph" w:styleId="5">
    <w:name w:val="heading 2"/>
    <w:basedOn w:val="1"/>
    <w:next w:val="1"/>
    <w:link w:val="26"/>
    <w:unhideWhenUsed/>
    <w:qFormat/>
    <w:uiPriority w:val="0"/>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6">
    <w:name w:val="heading 3"/>
    <w:basedOn w:val="1"/>
    <w:next w:val="1"/>
    <w:link w:val="19"/>
    <w:semiHidden/>
    <w:unhideWhenUsed/>
    <w:qFormat/>
    <w:uiPriority w:val="0"/>
    <w:pPr>
      <w:keepNext/>
      <w:keepLines/>
      <w:overflowPunct w:val="0"/>
      <w:topLinePunct/>
      <w:spacing w:before="260" w:after="260" w:line="416" w:lineRule="auto"/>
      <w:outlineLvl w:val="2"/>
    </w:pPr>
    <w:rPr>
      <w:rFonts w:ascii="Times New Roman" w:hAnsi="Times New Roman" w:eastAsia="方正仿宋_GBK"/>
      <w:b/>
      <w:bCs/>
      <w:sz w:val="32"/>
      <w:szCs w:val="32"/>
    </w:rPr>
  </w:style>
  <w:style w:type="paragraph" w:styleId="7">
    <w:name w:val="heading 5"/>
    <w:basedOn w:val="1"/>
    <w:next w:val="8"/>
    <w:link w:val="20"/>
    <w:qFormat/>
    <w:uiPriority w:val="0"/>
    <w:pPr>
      <w:keepNext/>
      <w:keepLines/>
      <w:widowControl/>
      <w:overflowPunct w:val="0"/>
      <w:topLinePunct/>
      <w:spacing w:before="280" w:after="290" w:line="376" w:lineRule="auto"/>
      <w:ind w:left="1008" w:hanging="1008"/>
      <w:outlineLvl w:val="4"/>
    </w:pPr>
    <w:rPr>
      <w:rFonts w:ascii="Times New Roman" w:hAnsi="Times New Roman" w:eastAsia="方正仿宋_GBK"/>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
    <w:unhideWhenUsed/>
    <w:qFormat/>
    <w:uiPriority w:val="99"/>
    <w:pPr>
      <w:ind w:firstLine="420" w:firstLineChars="200"/>
    </w:pPr>
  </w:style>
  <w:style w:type="paragraph" w:styleId="3">
    <w:name w:val="Body Text Indent"/>
    <w:basedOn w:val="1"/>
    <w:link w:val="23"/>
    <w:unhideWhenUsed/>
    <w:qFormat/>
    <w:uiPriority w:val="99"/>
    <w:pPr>
      <w:spacing w:after="120"/>
      <w:ind w:left="420" w:leftChars="200"/>
    </w:pPr>
  </w:style>
  <w:style w:type="paragraph" w:styleId="8">
    <w:name w:val="Normal Indent"/>
    <w:basedOn w:val="1"/>
    <w:next w:val="1"/>
    <w:qFormat/>
    <w:uiPriority w:val="0"/>
    <w:pPr>
      <w:widowControl/>
      <w:overflowPunct w:val="0"/>
      <w:topLinePunct/>
      <w:spacing w:line="240" w:lineRule="auto"/>
      <w:ind w:firstLine="420" w:firstLineChars="200"/>
    </w:pPr>
    <w:rPr>
      <w:rFonts w:ascii="Times New Roman" w:hAnsi="Times New Roman" w:eastAsia="方正仿宋_GBK"/>
      <w:sz w:val="20"/>
      <w:szCs w:val="20"/>
    </w:rPr>
  </w:style>
  <w:style w:type="paragraph" w:styleId="9">
    <w:name w:val="Date"/>
    <w:basedOn w:val="1"/>
    <w:next w:val="1"/>
    <w:link w:val="29"/>
    <w:semiHidden/>
    <w:unhideWhenUsed/>
    <w:qFormat/>
    <w:uiPriority w:val="99"/>
    <w:pPr>
      <w:ind w:left="100" w:leftChars="2500"/>
    </w:pPr>
  </w:style>
  <w:style w:type="paragraph" w:styleId="10">
    <w:name w:val="footer"/>
    <w:basedOn w:val="1"/>
    <w:link w:val="22"/>
    <w:unhideWhenUsed/>
    <w:qFormat/>
    <w:uiPriority w:val="99"/>
    <w:pPr>
      <w:tabs>
        <w:tab w:val="center" w:pos="4153"/>
        <w:tab w:val="right" w:pos="8306"/>
      </w:tabs>
      <w:overflowPunct w:val="0"/>
      <w:topLinePunct/>
      <w:snapToGrid w:val="0"/>
      <w:spacing w:line="240" w:lineRule="auto"/>
      <w:jc w:val="left"/>
    </w:pPr>
    <w:rPr>
      <w:rFonts w:ascii="Times New Roman" w:hAnsi="Times New Roman" w:eastAsia="方正仿宋_GBK"/>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overflowPunct w:val="0"/>
      <w:topLinePunct/>
      <w:snapToGrid w:val="0"/>
      <w:spacing w:line="240" w:lineRule="auto"/>
      <w:jc w:val="center"/>
    </w:pPr>
    <w:rPr>
      <w:rFonts w:ascii="Times New Roman" w:hAnsi="Times New Roman" w:eastAsia="方正仿宋_GBK"/>
      <w:sz w:val="18"/>
      <w:szCs w:val="18"/>
    </w:rPr>
  </w:style>
  <w:style w:type="paragraph" w:styleId="12">
    <w:name w:val="Normal (Web)"/>
    <w:basedOn w:val="1"/>
    <w:unhideWhenUsed/>
    <w:qFormat/>
    <w:uiPriority w:val="99"/>
    <w:pPr>
      <w:widowControl/>
      <w:spacing w:before="100" w:beforeAutospacing="1" w:after="100" w:afterAutospacing="1" w:line="240" w:lineRule="auto"/>
      <w:jc w:val="left"/>
    </w:pPr>
    <w:rPr>
      <w:rFonts w:ascii="宋体" w:hAnsi="宋体" w:cs="宋体"/>
      <w:kern w:val="0"/>
      <w:sz w:val="24"/>
    </w:rPr>
  </w:style>
  <w:style w:type="paragraph" w:styleId="13">
    <w:name w:val="Title"/>
    <w:basedOn w:val="1"/>
    <w:next w:val="1"/>
    <w:link w:val="27"/>
    <w:qFormat/>
    <w:uiPriority w:val="99"/>
    <w:pPr>
      <w:overflowPunct w:val="0"/>
      <w:topLinePunct/>
      <w:spacing w:before="240" w:after="60" w:line="240" w:lineRule="auto"/>
      <w:jc w:val="center"/>
      <w:outlineLvl w:val="0"/>
    </w:pPr>
    <w:rPr>
      <w:rFonts w:asciiTheme="majorHAnsi" w:hAnsiTheme="majorHAnsi" w:eastAsiaTheme="majorEastAsia" w:cstheme="majorBidi"/>
      <w:b/>
      <w:bCs/>
      <w:sz w:val="32"/>
      <w:szCs w:val="32"/>
    </w:rPr>
  </w:style>
  <w:style w:type="character" w:styleId="16">
    <w:name w:val="Strong"/>
    <w:basedOn w:val="15"/>
    <w:qFormat/>
    <w:uiPriority w:val="0"/>
    <w:rPr>
      <w:b/>
    </w:rPr>
  </w:style>
  <w:style w:type="character" w:styleId="17">
    <w:name w:val="FollowedHyperlink"/>
    <w:basedOn w:val="15"/>
    <w:semiHidden/>
    <w:unhideWhenUsed/>
    <w:qFormat/>
    <w:uiPriority w:val="99"/>
    <w:rPr>
      <w:color w:val="333333"/>
      <w:u w:val="none"/>
    </w:rPr>
  </w:style>
  <w:style w:type="character" w:styleId="18">
    <w:name w:val="Hyperlink"/>
    <w:basedOn w:val="15"/>
    <w:semiHidden/>
    <w:unhideWhenUsed/>
    <w:qFormat/>
    <w:uiPriority w:val="99"/>
    <w:rPr>
      <w:color w:val="0563C1" w:themeColor="hyperlink"/>
      <w:u w:val="single"/>
      <w14:textFill>
        <w14:solidFill>
          <w14:schemeClr w14:val="hlink"/>
        </w14:solidFill>
      </w14:textFill>
    </w:rPr>
  </w:style>
  <w:style w:type="character" w:customStyle="1" w:styleId="19">
    <w:name w:val="标题 3 字符"/>
    <w:basedOn w:val="15"/>
    <w:link w:val="6"/>
    <w:semiHidden/>
    <w:qFormat/>
    <w:uiPriority w:val="0"/>
    <w:rPr>
      <w:rFonts w:eastAsia="方正仿宋_GBK"/>
      <w:b/>
      <w:bCs/>
      <w:kern w:val="2"/>
      <w:sz w:val="32"/>
      <w:szCs w:val="32"/>
    </w:rPr>
  </w:style>
  <w:style w:type="character" w:customStyle="1" w:styleId="20">
    <w:name w:val="标题 5 字符"/>
    <w:basedOn w:val="15"/>
    <w:link w:val="7"/>
    <w:qFormat/>
    <w:uiPriority w:val="0"/>
    <w:rPr>
      <w:rFonts w:eastAsia="方正仿宋_GBK"/>
      <w:b/>
      <w:bCs/>
      <w:kern w:val="2"/>
      <w:sz w:val="28"/>
      <w:szCs w:val="28"/>
    </w:rPr>
  </w:style>
  <w:style w:type="character" w:customStyle="1" w:styleId="21">
    <w:name w:val="页眉 字符"/>
    <w:basedOn w:val="15"/>
    <w:link w:val="11"/>
    <w:qFormat/>
    <w:uiPriority w:val="99"/>
    <w:rPr>
      <w:rFonts w:eastAsia="方正仿宋_GBK"/>
      <w:kern w:val="2"/>
      <w:sz w:val="18"/>
      <w:szCs w:val="18"/>
    </w:rPr>
  </w:style>
  <w:style w:type="character" w:customStyle="1" w:styleId="22">
    <w:name w:val="页脚 字符"/>
    <w:basedOn w:val="15"/>
    <w:link w:val="10"/>
    <w:qFormat/>
    <w:uiPriority w:val="99"/>
    <w:rPr>
      <w:rFonts w:eastAsia="方正仿宋_GBK"/>
      <w:kern w:val="2"/>
      <w:sz w:val="18"/>
      <w:szCs w:val="18"/>
    </w:rPr>
  </w:style>
  <w:style w:type="character" w:customStyle="1" w:styleId="23">
    <w:name w:val="正文文本缩进 字符"/>
    <w:basedOn w:val="15"/>
    <w:link w:val="3"/>
    <w:semiHidden/>
    <w:qFormat/>
    <w:uiPriority w:val="99"/>
    <w:rPr>
      <w:rFonts w:ascii="Calibri" w:hAnsi="Calibri"/>
      <w:kern w:val="2"/>
      <w:sz w:val="21"/>
      <w:szCs w:val="24"/>
    </w:rPr>
  </w:style>
  <w:style w:type="character" w:customStyle="1" w:styleId="24">
    <w:name w:val="正文文本首行缩进 2 字符"/>
    <w:basedOn w:val="23"/>
    <w:link w:val="2"/>
    <w:qFormat/>
    <w:uiPriority w:val="99"/>
    <w:rPr>
      <w:rFonts w:ascii="Calibri" w:hAnsi="Calibri"/>
      <w:kern w:val="2"/>
      <w:sz w:val="21"/>
      <w:szCs w:val="24"/>
    </w:rPr>
  </w:style>
  <w:style w:type="character" w:customStyle="1" w:styleId="25">
    <w:name w:val="标题 1 字符"/>
    <w:basedOn w:val="15"/>
    <w:link w:val="4"/>
    <w:qFormat/>
    <w:uiPriority w:val="0"/>
    <w:rPr>
      <w:rFonts w:ascii="Calibri" w:hAnsi="Calibri"/>
      <w:b/>
      <w:bCs/>
      <w:kern w:val="44"/>
      <w:sz w:val="44"/>
      <w:szCs w:val="44"/>
    </w:rPr>
  </w:style>
  <w:style w:type="character" w:customStyle="1" w:styleId="26">
    <w:name w:val="标题 2 字符"/>
    <w:basedOn w:val="15"/>
    <w:link w:val="5"/>
    <w:qFormat/>
    <w:uiPriority w:val="0"/>
    <w:rPr>
      <w:rFonts w:asciiTheme="majorHAnsi" w:hAnsiTheme="majorHAnsi" w:eastAsiaTheme="majorEastAsia" w:cstheme="majorBidi"/>
      <w:b/>
      <w:bCs/>
      <w:kern w:val="2"/>
      <w:sz w:val="32"/>
      <w:szCs w:val="32"/>
    </w:rPr>
  </w:style>
  <w:style w:type="character" w:customStyle="1" w:styleId="27">
    <w:name w:val="标题 字符"/>
    <w:basedOn w:val="15"/>
    <w:link w:val="13"/>
    <w:qFormat/>
    <w:uiPriority w:val="99"/>
    <w:rPr>
      <w:rFonts w:asciiTheme="majorHAnsi" w:hAnsiTheme="majorHAnsi" w:eastAsiaTheme="majorEastAsia" w:cstheme="majorBidi"/>
      <w:b/>
      <w:bCs/>
      <w:kern w:val="2"/>
      <w:sz w:val="32"/>
      <w:szCs w:val="32"/>
    </w:rPr>
  </w:style>
  <w:style w:type="character" w:customStyle="1" w:styleId="28">
    <w:name w:val="dhgao"/>
    <w:basedOn w:val="15"/>
    <w:qFormat/>
    <w:uiPriority w:val="0"/>
  </w:style>
  <w:style w:type="character" w:customStyle="1" w:styleId="29">
    <w:name w:val="日期 字符"/>
    <w:basedOn w:val="15"/>
    <w:link w:val="9"/>
    <w:semiHidden/>
    <w:qFormat/>
    <w:uiPriority w:val="99"/>
    <w:rPr>
      <w:rFonts w:ascii="Calibri" w:hAnsi="Calibri"/>
      <w:kern w:val="2"/>
      <w:sz w:val="21"/>
      <w:szCs w:val="24"/>
    </w:rPr>
  </w:style>
  <w:style w:type="paragraph" w:customStyle="1" w:styleId="30">
    <w:name w:val="_Style 10"/>
    <w:basedOn w:val="1"/>
    <w:next w:val="31"/>
    <w:qFormat/>
    <w:uiPriority w:val="34"/>
    <w:pPr>
      <w:autoSpaceDE w:val="0"/>
      <w:autoSpaceDN w:val="0"/>
      <w:adjustRightInd w:val="0"/>
      <w:snapToGrid w:val="0"/>
      <w:spacing w:line="588" w:lineRule="atLeast"/>
      <w:ind w:firstLine="420" w:firstLineChars="200"/>
    </w:pPr>
    <w:rPr>
      <w:rFonts w:ascii="宋体" w:hAnsi="宋体" w:eastAsia="仿宋_GB2312"/>
      <w:spacing w:val="-2"/>
      <w:sz w:val="32"/>
    </w:rPr>
  </w:style>
  <w:style w:type="paragraph" w:styleId="31">
    <w:name w:val="List Paragraph"/>
    <w:basedOn w:val="1"/>
    <w:qFormat/>
    <w:uiPriority w:val="34"/>
    <w:pPr>
      <w:autoSpaceDE w:val="0"/>
      <w:autoSpaceDN w:val="0"/>
      <w:adjustRightInd w:val="0"/>
      <w:snapToGrid w:val="0"/>
      <w:spacing w:line="588" w:lineRule="atLeast"/>
      <w:ind w:firstLine="420" w:firstLineChars="200"/>
    </w:pPr>
    <w:rPr>
      <w:rFonts w:ascii="宋体" w:hAnsi="宋体" w:eastAsia="仿宋_GB2312"/>
      <w:spacing w:val="-2"/>
      <w:sz w:val="32"/>
    </w:rPr>
  </w:style>
  <w:style w:type="paragraph" w:customStyle="1" w:styleId="32">
    <w:name w:val="Default"/>
    <w:qFormat/>
    <w:uiPriority w:val="0"/>
    <w:pPr>
      <w:widowControl w:val="0"/>
      <w:autoSpaceDE w:val="0"/>
      <w:autoSpaceDN w:val="0"/>
      <w:adjustRightInd w:val="0"/>
    </w:pPr>
    <w:rPr>
      <w:rFonts w:ascii="Arial" w:hAnsi="Arial" w:cs="Arial" w:eastAsiaTheme="minorEastAsia"/>
      <w:color w:val="000000"/>
      <w:sz w:val="24"/>
      <w:szCs w:val="24"/>
      <w:lang w:val="en-US" w:eastAsia="zh-CN" w:bidi="ar-SA"/>
    </w:rPr>
  </w:style>
  <w:style w:type="character" w:customStyle="1" w:styleId="33">
    <w:name w:val="hao1"/>
    <w:basedOn w:val="15"/>
    <w:qFormat/>
    <w:uiPriority w:val="0"/>
    <w:rPr>
      <w:b/>
      <w:bCs/>
    </w:rPr>
  </w:style>
  <w:style w:type="character" w:customStyle="1" w:styleId="34">
    <w:name w:val="wz"/>
    <w:basedOn w:val="15"/>
    <w:qFormat/>
    <w:uiPriority w:val="0"/>
    <w:rPr>
      <w:vanish/>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4196</Words>
  <Characters>23918</Characters>
  <Lines>199</Lines>
  <Paragraphs>56</Paragraphs>
  <TotalTime>26</TotalTime>
  <ScaleCrop>false</ScaleCrop>
  <LinksUpToDate>false</LinksUpToDate>
  <CharactersWithSpaces>28058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2022-03-02T10:37:00Z</dcterms:created>
  <dc:creator>(pg) Ruihua Li</dc:creator>
  <cp:lastModifiedBy>Administrator</cp:lastModifiedBy>
  <dcterms:modified xsi:type="dcterms:W3CDTF">2022-03-29T09:59:12Z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EB3E2DCE8E1D40A3A58FFC1F10353530</vt:lpwstr>
  </property>
</Properties>
</file>