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center"/>
        <w:rPr>
          <w:rFonts w:hint="eastAsia" w:ascii="方正小标宋_GBK" w:hAnsi="Microsoft YaHei UI" w:eastAsia="方正小标宋_GBK" w:cs="宋体"/>
          <w:spacing w:val="11"/>
          <w:kern w:val="0"/>
          <w:sz w:val="44"/>
          <w:szCs w:val="44"/>
        </w:rPr>
      </w:pPr>
      <w:bookmarkStart w:id="0" w:name="_GoBack"/>
      <w:r>
        <w:rPr>
          <w:rFonts w:hint="eastAsia" w:ascii="方正小标宋_GBK" w:hAnsi="PingFangSC-Light" w:eastAsia="方正小标宋_GBK" w:cs="宋体"/>
          <w:bCs/>
          <w:color w:val="AB1942"/>
          <w:spacing w:val="11"/>
          <w:kern w:val="0"/>
          <w:sz w:val="44"/>
          <w:szCs w:val="44"/>
        </w:rPr>
        <w:t>2023年以来涉交通运输业国家主要财税金融</w:t>
      </w:r>
    </w:p>
    <w:p>
      <w:pPr>
        <w:widowControl/>
        <w:shd w:val="clear" w:color="auto" w:fill="FFFFFF"/>
        <w:spacing w:line="520" w:lineRule="exact"/>
        <w:jc w:val="center"/>
        <w:rPr>
          <w:rFonts w:hint="eastAsia" w:ascii="方正小标宋_GBK" w:hAnsi="Microsoft YaHei UI" w:eastAsia="方正小标宋_GBK" w:cs="宋体"/>
          <w:spacing w:val="11"/>
          <w:kern w:val="0"/>
          <w:sz w:val="44"/>
          <w:szCs w:val="44"/>
        </w:rPr>
      </w:pPr>
      <w:r>
        <w:rPr>
          <w:rFonts w:hint="eastAsia" w:ascii="方正小标宋_GBK" w:hAnsi="PingFangSC-Light" w:eastAsia="方正小标宋_GBK" w:cs="宋体"/>
          <w:bCs/>
          <w:color w:val="AB1942"/>
          <w:spacing w:val="11"/>
          <w:kern w:val="0"/>
          <w:sz w:val="44"/>
          <w:szCs w:val="44"/>
        </w:rPr>
        <w:t>优惠政策目录清单</w:t>
      </w:r>
    </w:p>
    <w:bookmarkEnd w:id="0"/>
    <w:p>
      <w:pPr>
        <w:widowControl/>
        <w:shd w:val="clear" w:color="auto" w:fill="FFFFFF"/>
        <w:rPr>
          <w:rFonts w:hint="eastAsia" w:ascii="仿宋_GB2312" w:hAnsi="Microsoft YaHei UI" w:eastAsia="仿宋_GB2312" w:cs="宋体"/>
          <w:spacing w:val="11"/>
          <w:kern w:val="0"/>
          <w:sz w:val="34"/>
          <w:szCs w:val="34"/>
        </w:rPr>
      </w:pPr>
    </w:p>
    <w:p>
      <w:pPr>
        <w:widowControl/>
        <w:shd w:val="clear" w:color="auto" w:fill="FFFFFF"/>
        <w:ind w:firstLine="322" w:firstLineChars="100"/>
        <w:rPr>
          <w:rFonts w:hint="eastAsia" w:ascii="仿宋_GB2312" w:hAnsi="Microsoft YaHei UI" w:eastAsia="仿宋_GB2312" w:cs="宋体"/>
          <w:spacing w:val="11"/>
          <w:kern w:val="0"/>
          <w:sz w:val="34"/>
          <w:szCs w:val="34"/>
        </w:rPr>
      </w:pPr>
      <w:r>
        <w:rPr>
          <w:rFonts w:hint="eastAsia" w:ascii="仿宋_GB2312" w:hAnsi="PingFangSC-Light" w:eastAsia="仿宋_GB2312" w:cs="宋体"/>
          <w:color w:val="000000"/>
          <w:spacing w:val="11"/>
          <w:kern w:val="0"/>
          <w:sz w:val="30"/>
          <w:szCs w:val="30"/>
        </w:rPr>
        <w:t>财务审计司编发</w:t>
      </w:r>
      <w:r>
        <w:rPr>
          <w:rFonts w:hint="eastAsia" w:ascii="PingFangSC-Light" w:hAnsi="PingFangSC-Light" w:eastAsia="仿宋_GB2312" w:cs="宋体"/>
          <w:color w:val="000000"/>
          <w:spacing w:val="11"/>
          <w:kern w:val="0"/>
          <w:sz w:val="30"/>
          <w:szCs w:val="30"/>
          <w:lang w:val="en-US" w:eastAsia="zh-CN"/>
        </w:rPr>
        <w:t xml:space="preserve">      </w:t>
      </w:r>
      <w:r>
        <w:rPr>
          <w:rFonts w:hint="eastAsia" w:ascii="仿宋_GB2312" w:hAnsi="PingFangSC-Light" w:eastAsia="仿宋_GB2312" w:cs="宋体"/>
          <w:color w:val="000000"/>
          <w:spacing w:val="11"/>
          <w:kern w:val="0"/>
          <w:sz w:val="30"/>
          <w:szCs w:val="30"/>
        </w:rPr>
        <w:t>截至</w:t>
      </w:r>
      <w:r>
        <w:rPr>
          <w:rFonts w:ascii="Times New Roman" w:hAnsi="Times New Roman" w:eastAsia="仿宋_GB2312" w:cs="Times New Roman"/>
          <w:color w:val="000000"/>
          <w:spacing w:val="11"/>
          <w:kern w:val="0"/>
          <w:sz w:val="30"/>
          <w:szCs w:val="30"/>
        </w:rPr>
        <w:t>2023年4月11日</w:t>
      </w:r>
    </w:p>
    <w:tbl>
      <w:tblPr>
        <w:tblStyle w:val="5"/>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03"/>
        <w:gridCol w:w="247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803" w:type="dxa"/>
            <w:shd w:val="clear" w:color="auto" w:fill="FFFFFF"/>
            <w:tcMar>
              <w:top w:w="0" w:type="dxa"/>
              <w:left w:w="108" w:type="dxa"/>
              <w:bottom w:w="0" w:type="dxa"/>
              <w:right w:w="108" w:type="dxa"/>
            </w:tcMar>
            <w:vAlign w:val="center"/>
          </w:tcPr>
          <w:p>
            <w:pPr>
              <w:widowControl/>
              <w:spacing w:line="400" w:lineRule="atLeast"/>
              <w:jc w:val="center"/>
              <w:rPr>
                <w:rFonts w:ascii="Calibri" w:hAnsi="Calibri" w:eastAsia="Microsoft YaHei UI" w:cs="Calibri"/>
                <w:spacing w:val="11"/>
                <w:kern w:val="0"/>
                <w:szCs w:val="21"/>
              </w:rPr>
            </w:pPr>
            <w:r>
              <w:rPr>
                <w:rFonts w:ascii="Times New Roman" w:hAnsi="Times New Roman" w:eastAsia="Microsoft YaHei UI" w:cs="Times New Roman"/>
                <w:b/>
                <w:bCs/>
                <w:spacing w:val="11"/>
                <w:kern w:val="0"/>
              </w:rPr>
              <w:t>序号</w:t>
            </w:r>
          </w:p>
        </w:tc>
        <w:tc>
          <w:tcPr>
            <w:tcW w:w="2474" w:type="dxa"/>
            <w:shd w:val="clear" w:color="auto" w:fill="FFFFFF"/>
            <w:tcMar>
              <w:top w:w="0" w:type="dxa"/>
              <w:left w:w="108" w:type="dxa"/>
              <w:bottom w:w="0" w:type="dxa"/>
              <w:right w:w="108" w:type="dxa"/>
            </w:tcMar>
            <w:vAlign w:val="center"/>
          </w:tcPr>
          <w:p>
            <w:pPr>
              <w:widowControl/>
              <w:wordWrap w:val="0"/>
              <w:spacing w:line="400" w:lineRule="atLeast"/>
              <w:jc w:val="center"/>
              <w:rPr>
                <w:rFonts w:ascii="Calibri" w:hAnsi="Calibri" w:eastAsia="Microsoft YaHei UI" w:cs="Calibri"/>
                <w:spacing w:val="11"/>
                <w:kern w:val="0"/>
                <w:szCs w:val="21"/>
              </w:rPr>
            </w:pPr>
            <w:r>
              <w:rPr>
                <w:rFonts w:ascii="Times New Roman" w:hAnsi="Times New Roman" w:eastAsia="Microsoft YaHei UI" w:cs="Times New Roman"/>
                <w:b/>
                <w:bCs/>
                <w:spacing w:val="11"/>
                <w:kern w:val="0"/>
              </w:rPr>
              <w:t>政策文件</w:t>
            </w:r>
          </w:p>
        </w:tc>
        <w:tc>
          <w:tcPr>
            <w:tcW w:w="7376" w:type="dxa"/>
            <w:shd w:val="clear" w:color="auto" w:fill="FFFFFF"/>
            <w:tcMar>
              <w:top w:w="0" w:type="dxa"/>
              <w:left w:w="108" w:type="dxa"/>
              <w:bottom w:w="0" w:type="dxa"/>
              <w:right w:w="108" w:type="dxa"/>
            </w:tcMar>
            <w:vAlign w:val="center"/>
          </w:tcPr>
          <w:p>
            <w:pPr>
              <w:widowControl/>
              <w:wordWrap w:val="0"/>
              <w:spacing w:line="400" w:lineRule="atLeast"/>
              <w:jc w:val="center"/>
              <w:rPr>
                <w:rFonts w:ascii="Calibri" w:hAnsi="Calibri" w:eastAsia="Microsoft YaHei UI" w:cs="Calibri"/>
                <w:spacing w:val="11"/>
                <w:kern w:val="0"/>
                <w:szCs w:val="21"/>
              </w:rPr>
            </w:pPr>
            <w:r>
              <w:rPr>
                <w:rFonts w:ascii="Times New Roman" w:hAnsi="Times New Roman" w:eastAsia="Microsoft YaHei UI" w:cs="Times New Roman"/>
                <w:b/>
                <w:bCs/>
                <w:spacing w:val="11"/>
                <w:kern w:val="0"/>
              </w:rPr>
              <w:t>财税金融优惠政策主要内容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87" w:hRule="atLeast"/>
          <w:jc w:val="center"/>
        </w:trPr>
        <w:tc>
          <w:tcPr>
            <w:tcW w:w="803" w:type="dxa"/>
            <w:shd w:val="clear" w:color="auto" w:fill="FFFFFF"/>
            <w:tcMar>
              <w:top w:w="0" w:type="dxa"/>
              <w:left w:w="108" w:type="dxa"/>
              <w:bottom w:w="0" w:type="dxa"/>
              <w:right w:w="108" w:type="dxa"/>
            </w:tcMar>
            <w:vAlign w:val="center"/>
          </w:tcPr>
          <w:p>
            <w:pPr>
              <w:widowControl/>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1</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《人力资源社会保障部 财政部 国家税务总局关于阶段性降低失业保险、工伤保险费率有关问题的通知》（人社部发〔</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w:t>
            </w:r>
            <w:r>
              <w:rPr>
                <w:rFonts w:ascii="Times New Roman" w:hAnsi="Times New Roman" w:eastAsia="仿宋_GB2312" w:cs="Times New Roman"/>
                <w:kern w:val="0"/>
                <w:szCs w:val="21"/>
              </w:rPr>
              <w:t>19</w:t>
            </w:r>
            <w:r>
              <w:rPr>
                <w:rFonts w:hint="eastAsia" w:ascii="仿宋_GB2312" w:hAnsi="Calibri" w:eastAsia="仿宋_GB2312" w:cs="Calibri"/>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1.自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5</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日起，继续实施阶段性降低失业保险费率至</w:t>
            </w:r>
            <w:r>
              <w:rPr>
                <w:rFonts w:ascii="Times New Roman" w:hAnsi="Times New Roman" w:eastAsia="仿宋_GB2312" w:cs="Times New Roman"/>
                <w:kern w:val="0"/>
                <w:szCs w:val="21"/>
              </w:rPr>
              <w:t>1%</w:t>
            </w:r>
            <w:r>
              <w:rPr>
                <w:rFonts w:hint="eastAsia" w:ascii="仿宋_GB2312" w:hAnsi="Calibri" w:eastAsia="仿宋_GB2312" w:cs="Calibri"/>
                <w:kern w:val="0"/>
                <w:szCs w:val="21"/>
              </w:rPr>
              <w:t>的政策，实施期限延长至</w:t>
            </w:r>
            <w:r>
              <w:rPr>
                <w:rFonts w:ascii="Times New Roman" w:hAnsi="Times New Roman" w:eastAsia="仿宋_GB2312" w:cs="Times New Roman"/>
                <w:kern w:val="0"/>
                <w:szCs w:val="21"/>
              </w:rPr>
              <w:t>2024</w:t>
            </w:r>
            <w:r>
              <w:rPr>
                <w:rFonts w:hint="eastAsia" w:ascii="仿宋_GB2312" w:hAnsi="Calibri" w:eastAsia="仿宋_GB2312" w:cs="Calibri"/>
                <w:kern w:val="0"/>
                <w:szCs w:val="21"/>
              </w:rPr>
              <w:t>年底。在省（区、市）行政区域内，单位及个人的费率应当统一，个人费率不得超过单位费率。</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2.自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5</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日起，按照《国务院办公厅关于印发降低社会保险费率综合方案的通知》（国办发〔</w:t>
            </w:r>
            <w:r>
              <w:rPr>
                <w:rFonts w:ascii="Times New Roman" w:hAnsi="Times New Roman" w:eastAsia="仿宋_GB2312" w:cs="Times New Roman"/>
                <w:kern w:val="0"/>
                <w:szCs w:val="21"/>
              </w:rPr>
              <w:t>2019</w:t>
            </w:r>
            <w:r>
              <w:rPr>
                <w:rFonts w:hint="eastAsia" w:ascii="仿宋_GB2312" w:hAnsi="Calibri" w:eastAsia="仿宋_GB2312" w:cs="Calibri"/>
                <w:kern w:val="0"/>
                <w:szCs w:val="21"/>
              </w:rPr>
              <w:t>〕</w:t>
            </w:r>
            <w:r>
              <w:rPr>
                <w:rFonts w:ascii="Times New Roman" w:hAnsi="Times New Roman" w:eastAsia="仿宋_GB2312" w:cs="Times New Roman"/>
                <w:kern w:val="0"/>
                <w:szCs w:val="21"/>
              </w:rPr>
              <w:t>13</w:t>
            </w:r>
            <w:r>
              <w:rPr>
                <w:rFonts w:hint="eastAsia" w:ascii="仿宋_GB2312" w:hAnsi="Calibri" w:eastAsia="仿宋_GB2312" w:cs="Calibri"/>
                <w:kern w:val="0"/>
                <w:szCs w:val="21"/>
              </w:rPr>
              <w:t>号）有关实施条件，继续实施阶段性降低工伤保险费率政策，实施期限延长至</w:t>
            </w:r>
            <w:r>
              <w:rPr>
                <w:rFonts w:ascii="Times New Roman" w:hAnsi="Times New Roman" w:eastAsia="仿宋_GB2312" w:cs="Times New Roman"/>
                <w:kern w:val="0"/>
                <w:szCs w:val="21"/>
              </w:rPr>
              <w:t>2024</w:t>
            </w:r>
            <w:r>
              <w:rPr>
                <w:rFonts w:hint="eastAsia" w:ascii="仿宋_GB2312" w:hAnsi="Calibri" w:eastAsia="仿宋_GB2312" w:cs="Calibri"/>
                <w:kern w:val="0"/>
                <w:szCs w:val="21"/>
              </w:rPr>
              <w:t>年底。</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3.各地要加强失业保险、工伤保险基金运行分析，平衡好降费率与保发放之间的关系，既要确保降费率政策落实，也要确保待遇按时足额发放，确保制度运行安全平稳可持续。</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4.各地要继续按照国家有关规定进一步规范缴费比例、缴费基数等相关政策，不得自行出台降低缴费基数、减免社会保险费等减少基金收入的政策。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2</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《关于继续实施物流企业大宗商品仓储设施用地城镇土地使用税优惠政策的公告》（财政部 税务总局公告</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年第</w:t>
            </w:r>
            <w:r>
              <w:rPr>
                <w:rFonts w:ascii="Times New Roman" w:hAnsi="Times New Roman" w:eastAsia="仿宋_GB2312" w:cs="Times New Roman"/>
                <w:kern w:val="0"/>
                <w:szCs w:val="21"/>
              </w:rPr>
              <w:t>5</w:t>
            </w:r>
            <w:r>
              <w:rPr>
                <w:rFonts w:hint="eastAsia" w:ascii="仿宋_GB2312" w:hAnsi="Calibri" w:eastAsia="仿宋_GB2312" w:cs="Calibri"/>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1.自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日起至</w:t>
            </w:r>
            <w:r>
              <w:rPr>
                <w:rFonts w:ascii="Times New Roman" w:hAnsi="Times New Roman" w:eastAsia="仿宋_GB2312" w:cs="Times New Roman"/>
                <w:kern w:val="0"/>
                <w:szCs w:val="21"/>
              </w:rPr>
              <w:t>2027</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12</w:t>
            </w:r>
            <w:r>
              <w:rPr>
                <w:rFonts w:hint="eastAsia" w:ascii="仿宋_GB2312" w:hAnsi="Calibri" w:eastAsia="仿宋_GB2312" w:cs="Calibri"/>
                <w:kern w:val="0"/>
                <w:szCs w:val="21"/>
              </w:rPr>
              <w:t>月</w:t>
            </w:r>
            <w:r>
              <w:rPr>
                <w:rFonts w:ascii="Times New Roman" w:hAnsi="Times New Roman" w:eastAsia="仿宋_GB2312" w:cs="Times New Roman"/>
                <w:kern w:val="0"/>
                <w:szCs w:val="21"/>
              </w:rPr>
              <w:t>31</w:t>
            </w:r>
            <w:r>
              <w:rPr>
                <w:rFonts w:hint="eastAsia" w:ascii="仿宋_GB2312" w:hAnsi="Calibri" w:eastAsia="仿宋_GB2312" w:cs="Calibri"/>
                <w:kern w:val="0"/>
                <w:szCs w:val="21"/>
              </w:rPr>
              <w:t>日止，对物流企业自有（包括自用和出租）或承租的大宗商品仓储设施用地，减按所属土地等级适用税额标准的</w:t>
            </w:r>
            <w:r>
              <w:rPr>
                <w:rFonts w:ascii="Times New Roman" w:hAnsi="Times New Roman" w:eastAsia="仿宋_GB2312" w:cs="Times New Roman"/>
                <w:kern w:val="0"/>
                <w:szCs w:val="21"/>
              </w:rPr>
              <w:t>50%</w:t>
            </w:r>
            <w:r>
              <w:rPr>
                <w:rFonts w:hint="eastAsia" w:ascii="仿宋_GB2312" w:hAnsi="Calibri" w:eastAsia="仿宋_GB2312" w:cs="Calibri"/>
                <w:kern w:val="0"/>
                <w:szCs w:val="21"/>
              </w:rPr>
              <w:t>计征城镇土地使用税。</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2.本公告所称物流企业，是指至少从事仓储或运输一种经营业务，为工农业生产、流通、进出口和居民生活提供仓储、配送等第三方物流服务，实行独立核算、独立承担民事责任，并在工商部门注册登记为物流、仓储或运输的专业物流企业。</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3.本公告所称大宗商品仓储设施，是指同一仓储设施占地面积在</w:t>
            </w:r>
            <w:r>
              <w:rPr>
                <w:rFonts w:ascii="Times New Roman" w:hAnsi="Times New Roman" w:eastAsia="仿宋_GB2312" w:cs="Times New Roman"/>
                <w:kern w:val="0"/>
                <w:szCs w:val="21"/>
              </w:rPr>
              <w:t>6000</w:t>
            </w:r>
            <w:r>
              <w:rPr>
                <w:rFonts w:hint="eastAsia" w:ascii="仿宋_GB2312" w:hAnsi="Calibri" w:eastAsia="仿宋_GB2312" w:cs="Calibri"/>
                <w:kern w:val="0"/>
                <w:szCs w:val="21"/>
              </w:rPr>
              <w:t>平方米及以上，且主要储存粮食、棉花、油料、糖料、蔬菜、水果、肉类、水产品、化肥、农药、种子、饲料等农产品和农业生产资料，煤炭、焦炭、矿砂、非金属矿产品、原油、成品油、化工原料、木材、橡胶、纸浆及纸制品、钢材、水泥、有色金属、建材、塑料、纺织原料等矿产品和工业原材料的仓储设施。</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4.本公告所称仓储设施用地，包括仓库库区内的各类仓房（含配送中心）、油罐（池）、货场、晒场（堆场）、罩棚等储存设施和铁路专用线、码头、道路、装卸搬运区域等物流作业配套设施的用地。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3</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《关于延续实施残疾人就业保障金优惠政策的公告》（财政部公告</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年第</w:t>
            </w:r>
            <w:r>
              <w:rPr>
                <w:rFonts w:ascii="Times New Roman" w:hAnsi="Times New Roman" w:eastAsia="仿宋_GB2312" w:cs="Times New Roman"/>
                <w:kern w:val="0"/>
                <w:szCs w:val="21"/>
              </w:rPr>
              <w:t>8</w:t>
            </w:r>
            <w:r>
              <w:rPr>
                <w:rFonts w:hint="eastAsia" w:ascii="仿宋_GB2312" w:hAnsi="Calibri" w:eastAsia="仿宋_GB2312" w:cs="Calibri"/>
                <w:kern w:val="0"/>
                <w:szCs w:val="21"/>
              </w:rPr>
              <w:t>号）</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 </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1.延续实施残疾人就业保障金分档减缴政策。其中：用人单位安排残疾人就业比例达到</w:t>
            </w:r>
            <w:r>
              <w:rPr>
                <w:rFonts w:ascii="Times New Roman" w:hAnsi="Times New Roman" w:eastAsia="仿宋_GB2312" w:cs="Times New Roman"/>
                <w:kern w:val="0"/>
                <w:szCs w:val="21"/>
              </w:rPr>
              <w:t>1%</w:t>
            </w:r>
            <w:r>
              <w:rPr>
                <w:rFonts w:hint="eastAsia" w:ascii="仿宋_GB2312" w:hAnsi="Calibri" w:eastAsia="仿宋_GB2312" w:cs="Calibri"/>
                <w:kern w:val="0"/>
                <w:szCs w:val="21"/>
              </w:rPr>
              <w:t>（含）以上，但未达到所在地省、自治区、直辖市人民政府规定比例的，按规定应缴费额的</w:t>
            </w:r>
            <w:r>
              <w:rPr>
                <w:rFonts w:ascii="Times New Roman" w:hAnsi="Times New Roman" w:eastAsia="仿宋_GB2312" w:cs="Times New Roman"/>
                <w:kern w:val="0"/>
                <w:szCs w:val="21"/>
              </w:rPr>
              <w:t>50%</w:t>
            </w:r>
            <w:r>
              <w:rPr>
                <w:rFonts w:hint="eastAsia" w:ascii="仿宋_GB2312" w:hAnsi="Calibri" w:eastAsia="仿宋_GB2312" w:cs="Calibri"/>
                <w:kern w:val="0"/>
                <w:szCs w:val="21"/>
              </w:rPr>
              <w:t>缴纳残疾人就业保障金；用人单位安排残疾人就业比例在</w:t>
            </w:r>
            <w:r>
              <w:rPr>
                <w:rFonts w:ascii="Times New Roman" w:hAnsi="Times New Roman" w:eastAsia="仿宋_GB2312" w:cs="Times New Roman"/>
                <w:kern w:val="0"/>
                <w:szCs w:val="21"/>
              </w:rPr>
              <w:t>1%</w:t>
            </w:r>
            <w:r>
              <w:rPr>
                <w:rFonts w:hint="eastAsia" w:ascii="仿宋_GB2312" w:hAnsi="Calibri" w:eastAsia="仿宋_GB2312" w:cs="Calibri"/>
                <w:kern w:val="0"/>
                <w:szCs w:val="21"/>
              </w:rPr>
              <w:t>以下的，按规定应缴费额的</w:t>
            </w:r>
            <w:r>
              <w:rPr>
                <w:rFonts w:ascii="Times New Roman" w:hAnsi="Times New Roman" w:eastAsia="仿宋_GB2312" w:cs="Times New Roman"/>
                <w:kern w:val="0"/>
                <w:szCs w:val="21"/>
              </w:rPr>
              <w:t>90%</w:t>
            </w:r>
            <w:r>
              <w:rPr>
                <w:rFonts w:hint="eastAsia" w:ascii="仿宋_GB2312" w:hAnsi="Calibri" w:eastAsia="仿宋_GB2312" w:cs="Calibri"/>
                <w:kern w:val="0"/>
                <w:szCs w:val="21"/>
              </w:rPr>
              <w:t>缴纳残疾人就业保障金。</w:t>
            </w:r>
            <w:r>
              <w:rPr>
                <w:rFonts w:ascii="Times New Roman" w:hAnsi="Times New Roman" w:eastAsia="仿宋_GB2312" w:cs="Times New Roman"/>
                <w:kern w:val="0"/>
                <w:szCs w:val="21"/>
              </w:rPr>
              <w:t>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2.在职职工人数在</w:t>
            </w:r>
            <w:r>
              <w:rPr>
                <w:rFonts w:ascii="Times New Roman" w:hAnsi="Times New Roman" w:eastAsia="仿宋_GB2312" w:cs="Times New Roman"/>
                <w:kern w:val="0"/>
                <w:szCs w:val="21"/>
              </w:rPr>
              <w:t>30</w:t>
            </w:r>
            <w:r>
              <w:rPr>
                <w:rFonts w:hint="eastAsia" w:ascii="仿宋_GB2312" w:hAnsi="Calibri" w:eastAsia="仿宋_GB2312" w:cs="Calibri"/>
                <w:kern w:val="0"/>
                <w:szCs w:val="21"/>
              </w:rPr>
              <w:t>人（含）以下的企业，继续免征残疾人就业保障金。</w:t>
            </w:r>
            <w:r>
              <w:rPr>
                <w:rFonts w:ascii="Times New Roman" w:hAnsi="Times New Roman" w:eastAsia="仿宋_GB2312" w:cs="Times New Roman"/>
                <w:kern w:val="0"/>
                <w:szCs w:val="21"/>
              </w:rPr>
              <w:t>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3.本公告执行期限自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日起至</w:t>
            </w:r>
            <w:r>
              <w:rPr>
                <w:rFonts w:ascii="Times New Roman" w:hAnsi="Times New Roman" w:eastAsia="仿宋_GB2312" w:cs="Times New Roman"/>
                <w:kern w:val="0"/>
                <w:szCs w:val="21"/>
              </w:rPr>
              <w:t>2027</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12</w:t>
            </w:r>
            <w:r>
              <w:rPr>
                <w:rFonts w:hint="eastAsia" w:ascii="仿宋_GB2312" w:hAnsi="Calibri" w:eastAsia="仿宋_GB2312" w:cs="Calibri"/>
                <w:kern w:val="0"/>
                <w:szCs w:val="21"/>
              </w:rPr>
              <w:t>月</w:t>
            </w:r>
            <w:r>
              <w:rPr>
                <w:rFonts w:ascii="Times New Roman" w:hAnsi="Times New Roman" w:eastAsia="仿宋_GB2312" w:cs="Times New Roman"/>
                <w:kern w:val="0"/>
                <w:szCs w:val="21"/>
              </w:rPr>
              <w:t>31</w:t>
            </w:r>
            <w:r>
              <w:rPr>
                <w:rFonts w:hint="eastAsia" w:ascii="仿宋_GB2312" w:hAnsi="Calibri" w:eastAsia="仿宋_GB2312" w:cs="Calibri"/>
                <w:kern w:val="0"/>
                <w:szCs w:val="21"/>
              </w:rPr>
              <w:t>日。对符合本公告规定减免条件但缴费人已缴费的，可按规定办理退费。</w:t>
            </w: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79"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4</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《关于进一步完善研发费用税前加计扣除政策的公告》（财政部 税务总局公告</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年第</w:t>
            </w:r>
            <w:r>
              <w:rPr>
                <w:rFonts w:ascii="Times New Roman" w:hAnsi="Times New Roman" w:eastAsia="仿宋_GB2312" w:cs="Times New Roman"/>
                <w:kern w:val="0"/>
                <w:szCs w:val="21"/>
              </w:rPr>
              <w:t>7</w:t>
            </w:r>
            <w:r>
              <w:rPr>
                <w:rFonts w:hint="eastAsia" w:ascii="仿宋_GB2312" w:hAnsi="Calibri" w:eastAsia="仿宋_GB2312" w:cs="Calibri"/>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企业开展研发活动中实际发生的研发费用，未形成无形资产计入当期损益的，在按规定据实扣除的基础上，自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日起，再按照实际发生额的</w:t>
            </w:r>
            <w:r>
              <w:rPr>
                <w:rFonts w:ascii="Times New Roman" w:hAnsi="Times New Roman" w:eastAsia="仿宋_GB2312" w:cs="Times New Roman"/>
                <w:kern w:val="0"/>
                <w:szCs w:val="21"/>
              </w:rPr>
              <w:t>100%</w:t>
            </w:r>
            <w:r>
              <w:rPr>
                <w:rFonts w:hint="eastAsia" w:ascii="仿宋_GB2312" w:hAnsi="Calibri" w:eastAsia="仿宋_GB2312" w:cs="Calibri"/>
                <w:kern w:val="0"/>
                <w:szCs w:val="21"/>
              </w:rPr>
              <w:t>在税前加计扣除；形成无形资产的，自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日起，按照无形资产成本的</w:t>
            </w:r>
            <w:r>
              <w:rPr>
                <w:rFonts w:ascii="Times New Roman" w:hAnsi="Times New Roman" w:eastAsia="仿宋_GB2312" w:cs="Times New Roman"/>
                <w:kern w:val="0"/>
                <w:szCs w:val="21"/>
              </w:rPr>
              <w:t>200%</w:t>
            </w:r>
            <w:r>
              <w:rPr>
                <w:rFonts w:hint="eastAsia" w:ascii="仿宋_GB2312" w:hAnsi="Calibri" w:eastAsia="仿宋_GB2312" w:cs="Calibri"/>
                <w:kern w:val="0"/>
                <w:szCs w:val="21"/>
              </w:rPr>
              <w:t>在税前摊销。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5</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《研发费用税前加计扣除新政指引》</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1.研发费用加计扣除的具体政策</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【适用主体】</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除烟草制造业、住宿和餐饮业、批发和零售业、房地产业、租赁和商务服务业、娱乐业等以外，其他行业企业均可享受。</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【优惠内容】</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企业开展研发活动中实际发生的研发费用，未形成无形资产计入当期损益的，在按规定据实扣除的基础上，自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日起，再按照实际发生额的</w:t>
            </w:r>
            <w:r>
              <w:rPr>
                <w:rFonts w:ascii="Times New Roman" w:hAnsi="Times New Roman" w:eastAsia="仿宋_GB2312" w:cs="Times New Roman"/>
                <w:kern w:val="0"/>
                <w:szCs w:val="21"/>
              </w:rPr>
              <w:t>100%</w:t>
            </w:r>
            <w:r>
              <w:rPr>
                <w:rFonts w:hint="eastAsia" w:ascii="仿宋_GB2312" w:hAnsi="Calibri" w:eastAsia="仿宋_GB2312" w:cs="Calibri"/>
                <w:kern w:val="0"/>
                <w:szCs w:val="21"/>
              </w:rPr>
              <w:t>在税前加计扣除；形成无形资产的，自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日起，按照无形资产成本的</w:t>
            </w:r>
            <w:r>
              <w:rPr>
                <w:rFonts w:ascii="Times New Roman" w:hAnsi="Times New Roman" w:eastAsia="仿宋_GB2312" w:cs="Times New Roman"/>
                <w:kern w:val="0"/>
                <w:szCs w:val="21"/>
              </w:rPr>
              <w:t>200%</w:t>
            </w:r>
            <w:r>
              <w:rPr>
                <w:rFonts w:hint="eastAsia" w:ascii="仿宋_GB2312" w:hAnsi="Calibri" w:eastAsia="仿宋_GB2312" w:cs="Calibri"/>
                <w:kern w:val="0"/>
                <w:szCs w:val="21"/>
              </w:rPr>
              <w:t>在税前摊销。</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上述政策作为制度性安排长期实施。</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2.研发费用加计扣除政策的适用活动范围</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【适用主体】</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除烟草制造业、住宿和餐饮业、批发和零售业、房地产业、租赁和商务服务业、娱乐业等以外，其他行业企业均可享受。</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【适用活动】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企业为获得科学与技术新知识，创造性运用科学技术新知识，或实质性改进技术、产品（服务）、工艺而持续进行的具有明确目标的系统性活动。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下列活动不适用税前加计扣除政策：</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1</w:t>
            </w:r>
            <w:r>
              <w:rPr>
                <w:rFonts w:hint="eastAsia" w:ascii="仿宋_GB2312" w:hAnsi="Calibri" w:eastAsia="仿宋_GB2312" w:cs="Calibri"/>
                <w:kern w:val="0"/>
                <w:szCs w:val="21"/>
              </w:rPr>
              <w:t>）企业产品（服务）的常规性升级。</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2</w:t>
            </w:r>
            <w:r>
              <w:rPr>
                <w:rFonts w:hint="eastAsia" w:ascii="仿宋_GB2312" w:hAnsi="Calibri" w:eastAsia="仿宋_GB2312" w:cs="Calibri"/>
                <w:kern w:val="0"/>
                <w:szCs w:val="21"/>
              </w:rPr>
              <w:t>）对某项科研成果的直接应用，如直接采用公开的新工艺、材料、装置、产品、服务或知识等。</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3</w:t>
            </w:r>
            <w:r>
              <w:rPr>
                <w:rFonts w:hint="eastAsia" w:ascii="仿宋_GB2312" w:hAnsi="Calibri" w:eastAsia="仿宋_GB2312" w:cs="Calibri"/>
                <w:kern w:val="0"/>
                <w:szCs w:val="21"/>
              </w:rPr>
              <w:t>）企业在商品化后为顾客提供的技术支持活动。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4</w:t>
            </w:r>
            <w:r>
              <w:rPr>
                <w:rFonts w:hint="eastAsia" w:ascii="仿宋_GB2312" w:hAnsi="Calibri" w:eastAsia="仿宋_GB2312" w:cs="Calibri"/>
                <w:kern w:val="0"/>
                <w:szCs w:val="21"/>
              </w:rPr>
              <w:t>）对现存产品、服务、技术、材料或工艺流程进行的重复或简单改变。</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5</w:t>
            </w:r>
            <w:r>
              <w:rPr>
                <w:rFonts w:hint="eastAsia" w:ascii="仿宋_GB2312" w:hAnsi="Calibri" w:eastAsia="仿宋_GB2312" w:cs="Calibri"/>
                <w:kern w:val="0"/>
                <w:szCs w:val="21"/>
              </w:rPr>
              <w:t>）市场调查研究、效率调查或管理研究。</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6</w:t>
            </w:r>
            <w:r>
              <w:rPr>
                <w:rFonts w:hint="eastAsia" w:ascii="仿宋_GB2312" w:hAnsi="Calibri" w:eastAsia="仿宋_GB2312" w:cs="Calibri"/>
                <w:kern w:val="0"/>
                <w:szCs w:val="21"/>
              </w:rPr>
              <w:t>）作为工业（服务）流程环节或常规的质量控制、测试分析、维修维护。</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7</w:t>
            </w:r>
            <w:r>
              <w:rPr>
                <w:rFonts w:hint="eastAsia" w:ascii="仿宋_GB2312" w:hAnsi="Calibri" w:eastAsia="仿宋_GB2312" w:cs="Calibri"/>
                <w:kern w:val="0"/>
                <w:szCs w:val="21"/>
              </w:rPr>
              <w:t>）社会科学、艺术或人文学方面的研究。</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3.可加计扣除的研发费用范围</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【适用主体】</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除烟草制造业、住宿和餐饮业、批发和零售业、房地产业、租赁和商务服务业、娱乐业等以外，其他行业企业均可享受。</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【优惠内容】</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1</w:t>
            </w:r>
            <w:r>
              <w:rPr>
                <w:rFonts w:hint="eastAsia" w:ascii="仿宋_GB2312" w:hAnsi="Calibri" w:eastAsia="仿宋_GB2312" w:cs="Calibri"/>
                <w:kern w:val="0"/>
                <w:szCs w:val="21"/>
              </w:rPr>
              <w:t>）人员人工费用。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直接从事研发活动人员的工资薪金、基本养老保险费、基本医疗保险费、失业保险费、工伤保险费、生育保险费和住房公积金，以及外聘研发人员的劳务费用。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2</w:t>
            </w:r>
            <w:r>
              <w:rPr>
                <w:rFonts w:hint="eastAsia" w:ascii="仿宋_GB2312" w:hAnsi="Calibri" w:eastAsia="仿宋_GB2312" w:cs="Calibri"/>
                <w:kern w:val="0"/>
                <w:szCs w:val="21"/>
              </w:rPr>
              <w:t>）直接投入费用。</w:t>
            </w:r>
          </w:p>
          <w:p>
            <w:pPr>
              <w:widowControl/>
              <w:wordWrap w:val="0"/>
              <w:spacing w:line="400" w:lineRule="atLeast"/>
              <w:rPr>
                <w:rFonts w:ascii="Calibri" w:hAnsi="Calibri" w:eastAsia="Microsoft YaHei UI" w:cs="Calibri"/>
                <w:spacing w:val="11"/>
                <w:kern w:val="0"/>
                <w:szCs w:val="21"/>
              </w:rPr>
            </w:pPr>
            <w:r>
              <w:rPr>
                <w:rFonts w:ascii="宋体" w:hAnsi="宋体" w:eastAsia="宋体" w:cs="宋体"/>
                <w:kern w:val="0"/>
                <w:szCs w:val="21"/>
              </w:rPr>
              <w:t>①</w:t>
            </w:r>
            <w:r>
              <w:rPr>
                <w:rFonts w:hint="eastAsia" w:ascii="仿宋_GB2312" w:hAnsi="Calibri" w:eastAsia="仿宋_GB2312" w:cs="Calibri"/>
                <w:kern w:val="0"/>
                <w:szCs w:val="21"/>
              </w:rPr>
              <w:t>研发活动直接消耗的材料、燃料和动力费用。</w:t>
            </w:r>
          </w:p>
          <w:p>
            <w:pPr>
              <w:widowControl/>
              <w:wordWrap w:val="0"/>
              <w:spacing w:line="400" w:lineRule="atLeast"/>
              <w:rPr>
                <w:rFonts w:ascii="Calibri" w:hAnsi="Calibri" w:eastAsia="Microsoft YaHei UI" w:cs="Calibri"/>
                <w:spacing w:val="11"/>
                <w:kern w:val="0"/>
                <w:szCs w:val="21"/>
              </w:rPr>
            </w:pPr>
            <w:r>
              <w:rPr>
                <w:rFonts w:ascii="宋体" w:hAnsi="宋体" w:eastAsia="宋体" w:cs="宋体"/>
                <w:kern w:val="0"/>
                <w:szCs w:val="21"/>
              </w:rPr>
              <w:t>②</w:t>
            </w:r>
            <w:r>
              <w:rPr>
                <w:rFonts w:hint="eastAsia" w:ascii="仿宋_GB2312" w:hAnsi="Calibri" w:eastAsia="仿宋_GB2312" w:cs="Calibri"/>
                <w:kern w:val="0"/>
                <w:szCs w:val="21"/>
              </w:rPr>
              <w:t>用于中间试验和产品试制的模具、工艺装备开发及制造费，不构成固定资产的样品、样机及一般测试手段购置费，试制产品的检验费。</w:t>
            </w:r>
          </w:p>
          <w:p>
            <w:pPr>
              <w:widowControl/>
              <w:wordWrap w:val="0"/>
              <w:spacing w:line="400" w:lineRule="atLeast"/>
              <w:rPr>
                <w:rFonts w:ascii="Calibri" w:hAnsi="Calibri" w:eastAsia="Microsoft YaHei UI" w:cs="Calibri"/>
                <w:spacing w:val="11"/>
                <w:kern w:val="0"/>
                <w:szCs w:val="21"/>
              </w:rPr>
            </w:pPr>
            <w:r>
              <w:rPr>
                <w:rFonts w:ascii="宋体" w:hAnsi="宋体" w:eastAsia="宋体" w:cs="宋体"/>
                <w:kern w:val="0"/>
                <w:szCs w:val="21"/>
              </w:rPr>
              <w:t>③</w:t>
            </w:r>
            <w:r>
              <w:rPr>
                <w:rFonts w:hint="eastAsia" w:ascii="仿宋_GB2312" w:hAnsi="Calibri" w:eastAsia="仿宋_GB2312" w:cs="Calibri"/>
                <w:kern w:val="0"/>
                <w:szCs w:val="21"/>
              </w:rPr>
              <w:t>用于研发活动的仪器、设备的运行维护、调整、检验、维修等费用，以及通过经营租赁方式租入的用于研发活动的仪器、设备租赁费。</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3</w:t>
            </w:r>
            <w:r>
              <w:rPr>
                <w:rFonts w:hint="eastAsia" w:ascii="仿宋_GB2312" w:hAnsi="Calibri" w:eastAsia="仿宋_GB2312" w:cs="Calibri"/>
                <w:kern w:val="0"/>
                <w:szCs w:val="21"/>
              </w:rPr>
              <w:t>）折旧费用。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用于研发活动的仪器、设备的折旧费。</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4</w:t>
            </w:r>
            <w:r>
              <w:rPr>
                <w:rFonts w:hint="eastAsia" w:ascii="仿宋_GB2312" w:hAnsi="Calibri" w:eastAsia="仿宋_GB2312" w:cs="Calibri"/>
                <w:kern w:val="0"/>
                <w:szCs w:val="21"/>
              </w:rPr>
              <w:t>）无形资产摊销。</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用于研发活动的软件、专利权、非专利技术（包括许可证、专有技术、设计和计算方法等）的摊销费用。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5</w:t>
            </w:r>
            <w:r>
              <w:rPr>
                <w:rFonts w:hint="eastAsia" w:ascii="仿宋_GB2312" w:hAnsi="Calibri" w:eastAsia="仿宋_GB2312" w:cs="Calibri"/>
                <w:kern w:val="0"/>
                <w:szCs w:val="21"/>
              </w:rPr>
              <w:t>）新产品设计费、新工艺规程制定费、新药研制的临床试验费、勘探开发技术的现场试验费。</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6</w:t>
            </w:r>
            <w:r>
              <w:rPr>
                <w:rFonts w:hint="eastAsia" w:ascii="仿宋_GB2312" w:hAnsi="Calibri" w:eastAsia="仿宋_GB2312" w:cs="Calibri"/>
                <w:kern w:val="0"/>
                <w:szCs w:val="21"/>
              </w:rPr>
              <w:t>）其他相关费用。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此类费用总额不得超过可加计扣除研发费用总额的</w:t>
            </w:r>
            <w:r>
              <w:rPr>
                <w:rFonts w:ascii="Times New Roman" w:hAnsi="Times New Roman" w:eastAsia="仿宋_GB2312" w:cs="Times New Roman"/>
                <w:kern w:val="0"/>
                <w:szCs w:val="21"/>
              </w:rPr>
              <w:t>10%</w:t>
            </w:r>
            <w:r>
              <w:rPr>
                <w:rFonts w:hint="eastAsia" w:ascii="仿宋_GB2312" w:hAnsi="Calibri" w:eastAsia="仿宋_GB2312" w:cs="Calibri"/>
                <w:kern w:val="0"/>
                <w:szCs w:val="21"/>
              </w:rPr>
              <w:t>。</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4.委托、合作、集中研发费用加计扣除政策</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【适用主体】</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除烟草制造业、住宿和餐饮业、批发和零售业、房地产业、租赁和商务服务业、娱乐业等以外，其他行业企业均可享受。</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【判定标准】</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1</w:t>
            </w:r>
            <w:r>
              <w:rPr>
                <w:rFonts w:hint="eastAsia" w:ascii="仿宋_GB2312" w:hAnsi="Calibri" w:eastAsia="仿宋_GB2312" w:cs="Calibri"/>
                <w:kern w:val="0"/>
                <w:szCs w:val="21"/>
              </w:rPr>
              <w:t>）企业委托外部机构或个人进行研发活动所发生的费用，按照费用实际发生额的</w:t>
            </w:r>
            <w:r>
              <w:rPr>
                <w:rFonts w:ascii="Times New Roman" w:hAnsi="Times New Roman" w:eastAsia="仿宋_GB2312" w:cs="Times New Roman"/>
                <w:kern w:val="0"/>
                <w:szCs w:val="21"/>
              </w:rPr>
              <w:t>80%</w:t>
            </w:r>
            <w:r>
              <w:rPr>
                <w:rFonts w:hint="eastAsia" w:ascii="仿宋_GB2312" w:hAnsi="Calibri" w:eastAsia="仿宋_GB2312" w:cs="Calibri"/>
                <w:kern w:val="0"/>
                <w:szCs w:val="21"/>
              </w:rPr>
              <w:t>计入委托方研发费用并计算加计扣除，受托方不得再进行加计扣除。委托境外进行研发活动所发生的费用，按照费用实际发生额的</w:t>
            </w:r>
            <w:r>
              <w:rPr>
                <w:rFonts w:ascii="Times New Roman" w:hAnsi="Times New Roman" w:eastAsia="仿宋_GB2312" w:cs="Times New Roman"/>
                <w:kern w:val="0"/>
                <w:szCs w:val="21"/>
              </w:rPr>
              <w:t>80%</w:t>
            </w:r>
            <w:r>
              <w:rPr>
                <w:rFonts w:hint="eastAsia" w:ascii="仿宋_GB2312" w:hAnsi="Calibri" w:eastAsia="仿宋_GB2312" w:cs="Calibri"/>
                <w:kern w:val="0"/>
                <w:szCs w:val="21"/>
              </w:rPr>
              <w:t>计入委托方的委托境外研发费用。委托境外研发费用不超过境内符合条件的研发费用三分之二的部分，可以按规定在企业所得税前加计扣除。</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2</w:t>
            </w:r>
            <w:r>
              <w:rPr>
                <w:rFonts w:hint="eastAsia" w:ascii="仿宋_GB2312" w:hAnsi="Calibri" w:eastAsia="仿宋_GB2312" w:cs="Calibri"/>
                <w:kern w:val="0"/>
                <w:szCs w:val="21"/>
              </w:rPr>
              <w:t>）企业共同合作开发的项目，由合作各方就自身实际承担的研发费用分别计算加计扣除。</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3</w:t>
            </w:r>
            <w:r>
              <w:rPr>
                <w:rFonts w:hint="eastAsia" w:ascii="仿宋_GB2312" w:hAnsi="Calibri" w:eastAsia="仿宋_GB2312" w:cs="Calibri"/>
                <w:kern w:val="0"/>
                <w:szCs w:val="21"/>
              </w:rPr>
              <w:t>）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5.研发费用加计扣除政策会计核算与管理</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【适用主体】</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除烟草制造业、住宿和餐饮业、批发和零售业、房地产业、租赁和商务服务业、娱乐业等以外，其他行业企业均可享受。</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【优惠内容】</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1</w:t>
            </w:r>
            <w:r>
              <w:rPr>
                <w:rFonts w:hint="eastAsia" w:ascii="仿宋_GB2312" w:hAnsi="Calibri" w:eastAsia="仿宋_GB2312" w:cs="Calibri"/>
                <w:kern w:val="0"/>
                <w:szCs w:val="21"/>
              </w:rPr>
              <w:t>）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w:t>
            </w:r>
            <w:r>
              <w:rPr>
                <w:rFonts w:ascii="Times New Roman" w:hAnsi="Times New Roman" w:eastAsia="仿宋_GB2312" w:cs="Times New Roman"/>
                <w:kern w:val="0"/>
                <w:szCs w:val="21"/>
              </w:rPr>
              <w:t>2</w:t>
            </w:r>
            <w:r>
              <w:rPr>
                <w:rFonts w:hint="eastAsia" w:ascii="仿宋_GB2312" w:hAnsi="Calibri" w:eastAsia="仿宋_GB2312" w:cs="Calibri"/>
                <w:kern w:val="0"/>
                <w:szCs w:val="21"/>
              </w:rPr>
              <w:t>）企业应对研发费用和生产经营费用分别核算，准确、合理归集各项费用支出，对划分不清的，不得实行加计扣除。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0"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6</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《关于小微企业和个体工商户所得税优惠政策的公告》（财政部 税务总局公告</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年第</w:t>
            </w:r>
            <w:r>
              <w:rPr>
                <w:rFonts w:ascii="Times New Roman" w:hAnsi="Times New Roman" w:eastAsia="仿宋_GB2312" w:cs="Times New Roman"/>
                <w:kern w:val="0"/>
                <w:szCs w:val="21"/>
              </w:rPr>
              <w:t>6</w:t>
            </w:r>
            <w:r>
              <w:rPr>
                <w:rFonts w:hint="eastAsia" w:ascii="仿宋_GB2312" w:hAnsi="Calibri" w:eastAsia="仿宋_GB2312" w:cs="Calibri"/>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1.对小型微利企业年应纳税所得额不超过</w:t>
            </w:r>
            <w:r>
              <w:rPr>
                <w:rFonts w:ascii="Times New Roman" w:hAnsi="Times New Roman" w:eastAsia="仿宋_GB2312" w:cs="Times New Roman"/>
                <w:spacing w:val="11"/>
                <w:kern w:val="0"/>
                <w:szCs w:val="21"/>
              </w:rPr>
              <w:t>100</w:t>
            </w:r>
            <w:r>
              <w:rPr>
                <w:rFonts w:hint="eastAsia" w:ascii="仿宋_GB2312" w:hAnsi="Calibri" w:eastAsia="仿宋_GB2312" w:cs="Calibri"/>
                <w:spacing w:val="11"/>
                <w:kern w:val="0"/>
                <w:szCs w:val="21"/>
              </w:rPr>
              <w:t>万元的部分，减按</w:t>
            </w:r>
            <w:r>
              <w:rPr>
                <w:rFonts w:ascii="Times New Roman" w:hAnsi="Times New Roman" w:eastAsia="仿宋_GB2312" w:cs="Times New Roman"/>
                <w:spacing w:val="11"/>
                <w:kern w:val="0"/>
                <w:szCs w:val="21"/>
              </w:rPr>
              <w:t>25%</w:t>
            </w:r>
            <w:r>
              <w:rPr>
                <w:rFonts w:hint="eastAsia" w:ascii="仿宋_GB2312" w:hAnsi="Calibri" w:eastAsia="仿宋_GB2312" w:cs="Calibri"/>
                <w:spacing w:val="11"/>
                <w:kern w:val="0"/>
                <w:szCs w:val="21"/>
              </w:rPr>
              <w:t>计入应纳税所得额，按</w:t>
            </w:r>
            <w:r>
              <w:rPr>
                <w:rFonts w:ascii="Times New Roman" w:hAnsi="Times New Roman" w:eastAsia="仿宋_GB2312" w:cs="Times New Roman"/>
                <w:spacing w:val="11"/>
                <w:kern w:val="0"/>
                <w:szCs w:val="21"/>
              </w:rPr>
              <w:t>20%</w:t>
            </w:r>
            <w:r>
              <w:rPr>
                <w:rFonts w:hint="eastAsia" w:ascii="仿宋_GB2312" w:hAnsi="Calibri" w:eastAsia="仿宋_GB2312" w:cs="Calibri"/>
                <w:spacing w:val="11"/>
                <w:kern w:val="0"/>
                <w:szCs w:val="21"/>
              </w:rPr>
              <w:t>的税率缴纳企业所得税。</w:t>
            </w:r>
            <w:r>
              <w:rPr>
                <w:rFonts w:ascii="Times New Roman" w:hAnsi="Times New Roman" w:eastAsia="仿宋_GB2312" w:cs="Times New Roman"/>
                <w:spacing w:val="11"/>
                <w:kern w:val="0"/>
                <w:szCs w:val="21"/>
              </w:rPr>
              <w:t>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2.对个体工商户年应纳税所得额不超过</w:t>
            </w:r>
            <w:r>
              <w:rPr>
                <w:rFonts w:ascii="Times New Roman" w:hAnsi="Times New Roman" w:eastAsia="仿宋_GB2312" w:cs="Times New Roman"/>
                <w:spacing w:val="11"/>
                <w:kern w:val="0"/>
                <w:szCs w:val="21"/>
              </w:rPr>
              <w:t>100</w:t>
            </w:r>
            <w:r>
              <w:rPr>
                <w:rFonts w:hint="eastAsia" w:ascii="仿宋_GB2312" w:hAnsi="Calibri" w:eastAsia="仿宋_GB2312" w:cs="Calibri"/>
                <w:spacing w:val="11"/>
                <w:kern w:val="0"/>
                <w:szCs w:val="21"/>
              </w:rPr>
              <w:t>万元的部分，在现行优惠政策基础上，减半征收个人所得税。</w:t>
            </w:r>
            <w:r>
              <w:rPr>
                <w:rFonts w:ascii="Times New Roman" w:hAnsi="Times New Roman" w:eastAsia="仿宋_GB2312" w:cs="Times New Roman"/>
                <w:spacing w:val="11"/>
                <w:kern w:val="0"/>
                <w:szCs w:val="21"/>
              </w:rPr>
              <w:t>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3.本公告所称小型微利企业，是指从事国家非限制和禁止行业，且同时符合年度应纳税所得额不超过</w:t>
            </w:r>
            <w:r>
              <w:rPr>
                <w:rFonts w:ascii="Times New Roman" w:hAnsi="Times New Roman" w:eastAsia="仿宋_GB2312" w:cs="Times New Roman"/>
                <w:spacing w:val="11"/>
                <w:kern w:val="0"/>
                <w:szCs w:val="21"/>
              </w:rPr>
              <w:t>300</w:t>
            </w:r>
            <w:r>
              <w:rPr>
                <w:rFonts w:hint="eastAsia" w:ascii="仿宋_GB2312" w:hAnsi="Calibri" w:eastAsia="仿宋_GB2312" w:cs="Calibri"/>
                <w:spacing w:val="11"/>
                <w:kern w:val="0"/>
                <w:szCs w:val="21"/>
              </w:rPr>
              <w:t>万元、从业人数不超过</w:t>
            </w:r>
            <w:r>
              <w:rPr>
                <w:rFonts w:ascii="Times New Roman" w:hAnsi="Times New Roman" w:eastAsia="仿宋_GB2312" w:cs="Times New Roman"/>
                <w:spacing w:val="11"/>
                <w:kern w:val="0"/>
                <w:szCs w:val="21"/>
              </w:rPr>
              <w:t>300</w:t>
            </w:r>
            <w:r>
              <w:rPr>
                <w:rFonts w:hint="eastAsia" w:ascii="仿宋_GB2312" w:hAnsi="Calibri" w:eastAsia="仿宋_GB2312" w:cs="Calibri"/>
                <w:spacing w:val="11"/>
                <w:kern w:val="0"/>
                <w:szCs w:val="21"/>
              </w:rPr>
              <w:t>人、资产总额不超过</w:t>
            </w:r>
            <w:r>
              <w:rPr>
                <w:rFonts w:ascii="Times New Roman" w:hAnsi="Times New Roman" w:eastAsia="仿宋_GB2312" w:cs="Times New Roman"/>
                <w:spacing w:val="11"/>
                <w:kern w:val="0"/>
                <w:szCs w:val="21"/>
              </w:rPr>
              <w:t>5000</w:t>
            </w:r>
            <w:r>
              <w:rPr>
                <w:rFonts w:hint="eastAsia" w:ascii="仿宋_GB2312" w:hAnsi="Calibri" w:eastAsia="仿宋_GB2312" w:cs="Calibri"/>
                <w:spacing w:val="11"/>
                <w:kern w:val="0"/>
                <w:szCs w:val="21"/>
              </w:rPr>
              <w:t>万元等三个条件的企业。</w:t>
            </w:r>
            <w:r>
              <w:rPr>
                <w:rFonts w:ascii="Times New Roman" w:hAnsi="Times New Roman" w:eastAsia="仿宋_GB2312" w:cs="Times New Roman"/>
                <w:spacing w:val="11"/>
                <w:kern w:val="0"/>
                <w:szCs w:val="21"/>
              </w:rPr>
              <w:t>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从业人数，包括与企业建立劳动关系的职工人数和企业接受的劳务派遣用工人数。所称从业人数和资产总额指标，应按企业全年的季度平均值确定。具体计算公式如下：</w:t>
            </w:r>
            <w:r>
              <w:rPr>
                <w:rFonts w:ascii="Times New Roman" w:hAnsi="Times New Roman" w:eastAsia="仿宋_GB2312" w:cs="Times New Roman"/>
                <w:spacing w:val="11"/>
                <w:kern w:val="0"/>
                <w:szCs w:val="21"/>
              </w:rPr>
              <w:t>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季度平均值＝（季初值＋季末值）÷</w:t>
            </w:r>
            <w:r>
              <w:rPr>
                <w:rFonts w:ascii="Times New Roman" w:hAnsi="Times New Roman" w:eastAsia="仿宋_GB2312" w:cs="Times New Roman"/>
                <w:spacing w:val="11"/>
                <w:kern w:val="0"/>
                <w:szCs w:val="21"/>
              </w:rPr>
              <w:t>2 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全年季度平均值＝全年各季度平均值之和÷</w:t>
            </w:r>
            <w:r>
              <w:rPr>
                <w:rFonts w:ascii="Times New Roman" w:hAnsi="Times New Roman" w:eastAsia="仿宋_GB2312" w:cs="Times New Roman"/>
                <w:spacing w:val="11"/>
                <w:kern w:val="0"/>
                <w:szCs w:val="21"/>
              </w:rPr>
              <w:t>4 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年度中间开业或者终止经营活动的，以其实际经营期作为一个纳税年度确定上述相关指标。</w:t>
            </w:r>
            <w:r>
              <w:rPr>
                <w:rFonts w:ascii="Times New Roman" w:hAnsi="Times New Roman" w:eastAsia="仿宋_GB2312" w:cs="Times New Roman"/>
                <w:spacing w:val="11"/>
                <w:kern w:val="0"/>
                <w:szCs w:val="21"/>
              </w:rPr>
              <w:t> </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4.本公告执行期限为</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日至</w:t>
            </w:r>
            <w:r>
              <w:rPr>
                <w:rFonts w:ascii="Times New Roman" w:hAnsi="Times New Roman" w:eastAsia="仿宋_GB2312" w:cs="Times New Roman"/>
                <w:spacing w:val="11"/>
                <w:kern w:val="0"/>
                <w:szCs w:val="21"/>
              </w:rPr>
              <w:t>2024</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12</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31</w:t>
            </w:r>
            <w:r>
              <w:rPr>
                <w:rFonts w:hint="eastAsia" w:ascii="仿宋_GB2312" w:hAnsi="Calibri" w:eastAsia="仿宋_GB2312" w:cs="Calibri"/>
                <w:spacing w:val="11"/>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7</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《国家税务总局关于落实小型微利企业所得税优惠政策征管问题的公告》（国家税务总局公告</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年第</w:t>
            </w:r>
            <w:r>
              <w:rPr>
                <w:rFonts w:ascii="Times New Roman" w:hAnsi="Times New Roman" w:eastAsia="仿宋_GB2312" w:cs="Times New Roman"/>
                <w:kern w:val="0"/>
                <w:szCs w:val="21"/>
              </w:rPr>
              <w:t>6</w:t>
            </w:r>
            <w:r>
              <w:rPr>
                <w:rFonts w:hint="eastAsia" w:ascii="仿宋_GB2312" w:hAnsi="Calibri" w:eastAsia="仿宋_GB2312" w:cs="Calibri"/>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1.符合财政部、税务总局规定的小型微利企业条件的企业（以下简称小型微利企业），按照相关政策规定享受小型微利企业所得税优惠政策。</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企业设立不具有法人资格分支机构的，应当汇总计算总机构及其各分支机构的从业人数、资产总额、年度应纳税所得额，依据合计数判断是否符合小型微利企业条件。</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2.小型微利企业无论按查账征收方式或核定征收方式缴纳企业所得税，均可享受小型微利企业所得税优惠政策。</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3.小型微利企业在预缴和汇算清缴企业所得税时，通过填写纳税申报表，即可享受小型微利企业所得税优惠政策。</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小型微利企业应准确填报基础信息，包括从业人数、资产总额、年度应纳税所得额、国家限制或禁止行业等，信息系统将为小型微利企业智能预填优惠项目、自动计算减免税额。</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4.小型微利企业预缴企业所得税时，从业人数、资产总额、年度应纳税所得额指标，暂按当年度截至本期预缴申报所属期末的情况进行判断。</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5.原不符合小型微利企业条件的企业，在年度中间预缴企业所得税时，按照相关政策标准判断符合小型微利企业条件的，应按照截至本期预缴申报所属期末的累计情况，计算减免税额。当年度此前期间如因不符合小型微利企业条件而多预缴的企业所得税税款，可在以后季度应预缴的企业所得税税款中抵减。</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6.企业预缴企业所得税时享受了小型微利企业所得税优惠政策，但在汇算清缴时发现不符合相关政策标准的，应当按照规定补缴企业所得税税款。</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7.小型微利企业所得税统一实行按季度预缴。</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按月度预缴企业所得税的企业，在当年度</w:t>
            </w:r>
            <w:r>
              <w:rPr>
                <w:rFonts w:ascii="Times New Roman" w:hAnsi="Times New Roman" w:eastAsia="仿宋_GB2312" w:cs="Times New Roman"/>
                <w:kern w:val="0"/>
                <w:szCs w:val="21"/>
              </w:rPr>
              <w:t>4</w:t>
            </w:r>
            <w:r>
              <w:rPr>
                <w:rFonts w:hint="eastAsia" w:ascii="仿宋_GB2312" w:hAnsi="Calibri" w:eastAsia="仿宋_GB2312" w:cs="Calibri"/>
                <w:kern w:val="0"/>
                <w:szCs w:val="21"/>
              </w:rPr>
              <w:t>月、</w:t>
            </w:r>
            <w:r>
              <w:rPr>
                <w:rFonts w:ascii="Times New Roman" w:hAnsi="Times New Roman" w:eastAsia="仿宋_GB2312" w:cs="Times New Roman"/>
                <w:kern w:val="0"/>
                <w:szCs w:val="21"/>
              </w:rPr>
              <w:t>7</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10</w:t>
            </w:r>
            <w:r>
              <w:rPr>
                <w:rFonts w:hint="eastAsia" w:ascii="仿宋_GB2312" w:hAnsi="Calibri" w:eastAsia="仿宋_GB2312" w:cs="Calibri"/>
                <w:kern w:val="0"/>
                <w:szCs w:val="21"/>
              </w:rPr>
              <w:t>月预缴申报时，若按相关政策标准判断符合小型微利企业条件的，下一个预缴申报期起调整为按季度预缴申报，一经调整，当年度内不再变更。</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8.本公告自</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年</w:t>
            </w:r>
            <w:r>
              <w:rPr>
                <w:rFonts w:ascii="Times New Roman" w:hAnsi="Times New Roman" w:eastAsia="仿宋_GB2312" w:cs="Times New Roman"/>
                <w:kern w:val="0"/>
                <w:szCs w:val="21"/>
              </w:rPr>
              <w:t>1</w:t>
            </w:r>
            <w:r>
              <w:rPr>
                <w:rFonts w:hint="eastAsia" w:ascii="仿宋_GB2312" w:hAnsi="Calibri" w:eastAsia="仿宋_GB2312" w:cs="Calibri"/>
                <w:kern w:val="0"/>
                <w:szCs w:val="21"/>
              </w:rPr>
              <w:t>月</w:t>
            </w:r>
            <w:r>
              <w:rPr>
                <w:rFonts w:ascii="Times New Roman" w:hAnsi="Times New Roman" w:eastAsia="仿宋_GB2312" w:cs="Times New Roman"/>
                <w:kern w:val="0"/>
                <w:szCs w:val="21"/>
              </w:rPr>
              <w:t>1</w:t>
            </w:r>
            <w:r>
              <w:rPr>
                <w:rFonts w:hint="eastAsia" w:ascii="仿宋_GB2312" w:hAnsi="Calibri" w:eastAsia="仿宋_GB2312" w:cs="Calibri"/>
                <w:kern w:val="0"/>
                <w:szCs w:val="21"/>
              </w:rPr>
              <w:t>日起施行。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8</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《中国人民银行 交通运输部 中国银行保险监督管理委员会关于进一步做好交通物流领域金融支持与服务的通知》（银发〔</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w:t>
            </w:r>
            <w:r>
              <w:rPr>
                <w:rFonts w:ascii="Times New Roman" w:hAnsi="Times New Roman" w:eastAsia="仿宋_GB2312" w:cs="Times New Roman"/>
                <w:spacing w:val="11"/>
                <w:kern w:val="0"/>
                <w:szCs w:val="21"/>
              </w:rPr>
              <w:t>32</w:t>
            </w:r>
            <w:r>
              <w:rPr>
                <w:rFonts w:hint="eastAsia" w:ascii="仿宋_GB2312" w:hAnsi="Calibri" w:eastAsia="仿宋_GB2312" w:cs="Calibri"/>
                <w:spacing w:val="11"/>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1.完善组织保障和内部激励，加大交通物流领域信贷支持力度。银行业金融机构要健全工作机制，加强组织保障，在总行、分支机构层面明确牵头部门和工作责任，制定细化目标和工作方案，层层传导落实，切实做好交通物流领域金融支持与服务。要完善内部激励约束机制，优化信贷资源配置，引导分支机构主动减费让利，加大交通物流行业首贷、信用贷款支持力度。全国性银行总行工作方案及每半年落实进展要及时报送人民银行、银保监会，全国性银行分支机构、地方法人银行方案及进展报送所在地人民银行分支机构、银保监局，每半年落实进展报送时间应不晚于下一半年首月底。</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2.创新丰富符合交通物流行业需求特点的信贷产品。银行业金融机构要根据交通物流领域企业人群融资需求，创新丰富符合行业特点的信贷产品。积极推广主动授信、随借随还贷款模式，更好满足市场主体经营性用款需求。鼓励运用大数据分析等手段对客户群体精准画像，创新基于动态交易、资金往来等的线上信用贷款。鼓励银行业金融机构在依法合规、风险可控的前提下，合理确定货车贷款首付比例、贷款利率、还款期限，在疫情及经济恢复的特定时间内适当提高货车贷款等交通物流行业不良贷款容忍度，细化落实尽职免责制度安排。对交通物流领域中小微企业、个体工商户、货车司机群体，银行、汽车金融公司、金融租赁公司、汽车企业集团财务公司、融资租赁公司等可根据客户经营状况和实际需求情况，按照市场化原则与客户自主协商对贷款（租金）进行展期；对符合条件的小微企业、个体工商户可给予续贷支持。</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3.优化货车</w:t>
            </w:r>
            <w:r>
              <w:rPr>
                <w:rFonts w:ascii="Times New Roman" w:hAnsi="Times New Roman" w:eastAsia="仿宋_GB2312" w:cs="Times New Roman"/>
                <w:spacing w:val="11"/>
                <w:kern w:val="0"/>
                <w:szCs w:val="21"/>
              </w:rPr>
              <w:t>ETC</w:t>
            </w:r>
            <w:r>
              <w:rPr>
                <w:rFonts w:hint="eastAsia" w:ascii="仿宋_GB2312" w:hAnsi="Calibri" w:eastAsia="仿宋_GB2312" w:cs="Calibri"/>
                <w:spacing w:val="11"/>
                <w:kern w:val="0"/>
                <w:szCs w:val="21"/>
              </w:rPr>
              <w:t>信用卡发行服务。鼓励银行业金融机构按照市场化原则办理货车</w:t>
            </w:r>
            <w:r>
              <w:rPr>
                <w:rFonts w:ascii="Times New Roman" w:hAnsi="Times New Roman" w:eastAsia="仿宋_GB2312" w:cs="Times New Roman"/>
                <w:spacing w:val="11"/>
                <w:kern w:val="0"/>
                <w:szCs w:val="21"/>
              </w:rPr>
              <w:t>ETC</w:t>
            </w:r>
            <w:r>
              <w:rPr>
                <w:rFonts w:hint="eastAsia" w:ascii="仿宋_GB2312" w:hAnsi="Calibri" w:eastAsia="仿宋_GB2312" w:cs="Calibri"/>
                <w:spacing w:val="11"/>
                <w:kern w:val="0"/>
                <w:szCs w:val="21"/>
              </w:rPr>
              <w:t>信用卡业务，建立符合货车</w:t>
            </w:r>
            <w:r>
              <w:rPr>
                <w:rFonts w:ascii="Times New Roman" w:hAnsi="Times New Roman" w:eastAsia="仿宋_GB2312" w:cs="Times New Roman"/>
                <w:spacing w:val="11"/>
                <w:kern w:val="0"/>
                <w:szCs w:val="21"/>
              </w:rPr>
              <w:t>ETC</w:t>
            </w:r>
            <w:r>
              <w:rPr>
                <w:rFonts w:hint="eastAsia" w:ascii="仿宋_GB2312" w:hAnsi="Calibri" w:eastAsia="仿宋_GB2312" w:cs="Calibri"/>
                <w:spacing w:val="11"/>
                <w:kern w:val="0"/>
                <w:szCs w:val="21"/>
              </w:rPr>
              <w:t>信用卡风险特点的风险管理模式和机制。对地方政府性融资担保机构、交通物流企业、汽车销售企业和货运平台企业等为货车办理</w:t>
            </w:r>
            <w:r>
              <w:rPr>
                <w:rFonts w:ascii="Times New Roman" w:hAnsi="Times New Roman" w:eastAsia="仿宋_GB2312" w:cs="Times New Roman"/>
                <w:spacing w:val="11"/>
                <w:kern w:val="0"/>
                <w:szCs w:val="21"/>
              </w:rPr>
              <w:t>ETC</w:t>
            </w:r>
            <w:r>
              <w:rPr>
                <w:rFonts w:hint="eastAsia" w:ascii="仿宋_GB2312" w:hAnsi="Calibri" w:eastAsia="仿宋_GB2312" w:cs="Calibri"/>
                <w:spacing w:val="11"/>
                <w:kern w:val="0"/>
                <w:szCs w:val="21"/>
              </w:rPr>
              <w:t>信用卡提供担保支持的，银行业金融机构要在风险可控前提下尽可能给予授信支持。</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4.优化交通物流专项再贷款政策安排。将道路货物专用运输经营者、道路大型物件运输经营者、道路危险货物运输企业、道路货物运输站场经营者、中小微物流仓储企业（以物流、仓储、配送为主业的独立法人企业）补充纳入交通物流专项再贷款支持范围（申请条件见附件）。交通物流专项再贷款政策实施期限延长至</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6</w:t>
            </w:r>
            <w:r>
              <w:rPr>
                <w:rFonts w:hint="eastAsia" w:ascii="仿宋_GB2312" w:hAnsi="Calibri" w:eastAsia="仿宋_GB2312" w:cs="Calibri"/>
                <w:spacing w:val="11"/>
                <w:kern w:val="0"/>
                <w:szCs w:val="21"/>
              </w:rPr>
              <w:t>月底，合格银行按月申请专项再贷款资金，于贷款发放后次月</w:t>
            </w:r>
            <w:r>
              <w:rPr>
                <w:rFonts w:ascii="Times New Roman" w:hAnsi="Times New Roman" w:eastAsia="仿宋_GB2312" w:cs="Times New Roman"/>
                <w:spacing w:val="11"/>
                <w:kern w:val="0"/>
                <w:szCs w:val="21"/>
              </w:rPr>
              <w:t>10</w:t>
            </w:r>
            <w:r>
              <w:rPr>
                <w:rFonts w:hint="eastAsia" w:ascii="仿宋_GB2312" w:hAnsi="Calibri" w:eastAsia="仿宋_GB2312" w:cs="Calibri"/>
                <w:spacing w:val="11"/>
                <w:kern w:val="0"/>
                <w:szCs w:val="21"/>
              </w:rPr>
              <w:t>日（遇节假日顺延）前提交申请材料。</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5.运用支农支小再贷款、再贴现发挥协同支持作用。运用支农支小再贷款、再贴现支持地方法人银行发放的符合条件的道路水路货物运输企业、中小微物流仓储配送（含快递）企业及两类小微企业主、个体工商户、个体货车司机（含挂靠）等经营性贷款，以及持有道路运输经营许可证但非主营道路运输的中小微企业用于购置车辆、购置燃油、支付司机工资或劳务费等交通运输业务的贷款。</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6.加大配套融资等市场化资金支持力度，助力交通物流基础设施和重大项目建设。金融机构要加强对政策性开发性金融工具投资交通物流项目的配套融资支持。积极支持完善综合交通网络布局，重点支持出疆入藏、中西部地区、沿江沿边沿海战略骨干通道及西部陆海新通道、城市群城际通道、交通一体化、革命老区公路等建设。开发性政策性金融机构和商业银行等要加大对“十四五”规划</w:t>
            </w:r>
            <w:r>
              <w:rPr>
                <w:rFonts w:ascii="Times New Roman" w:hAnsi="Times New Roman" w:eastAsia="仿宋_GB2312" w:cs="Times New Roman"/>
                <w:spacing w:val="11"/>
                <w:kern w:val="0"/>
                <w:szCs w:val="21"/>
              </w:rPr>
              <w:t>102</w:t>
            </w:r>
            <w:r>
              <w:rPr>
                <w:rFonts w:hint="eastAsia" w:ascii="仿宋_GB2312" w:hAnsi="Calibri" w:eastAsia="仿宋_GB2312" w:cs="Calibri"/>
                <w:spacing w:val="11"/>
                <w:kern w:val="0"/>
                <w:szCs w:val="21"/>
              </w:rPr>
              <w:t>项重大工程交通物流项目、交通运输“十四五”相关规划项目等的融资支持力度。积极做好融资对接，支持农村骨干路网提档升级、基础路网完善、城乡道路衔接，加快乡村资源路、产业路、旅游路建设，完善农村配送网络。鼓励做好航运企业金融服务，提高海运、水运信贷和保险供给，适度降低融资成本，支持建设国际海运、内陆水运物流网络。</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7.优化交通物流领域债券融资安排，提升发债融资便利度。发挥好债券市场融资功能，有力支持符合国家发展规划重大交通物流项目投资建设。支持汽车金融公司、金融租赁公司等非银行金融机构发行货运物流主题金融债券。鼓励道路水路货物运输（含港口）、物流仓储配送（含快递）等交通物流领域企业在银行间债券市场发行公司信用类债券筹集资金。中国银行间市场交易商协会、银行间市场基础设施要在疫情及经济恢复阶段持续对相关企业债券发行注册、登记托管等开通绿色通道，做好债券发行服务，优化业务办理流程，对债券融资交易费用能免尽免，降低发债融资成本，提升便利度。</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8.健全交通物流领域企业人群“白名单”机制。省级交通运输主管部门要指导各市县交通运输主管部门在认真梳理资质资格、质量信誉考核和信用评价等信息的基础上，组织相关行业协会商会等社会组织深入开展调研摸排，将守法诚信经营、市场前景良好、有贷款意愿的交通物流企业、个体工商户、货车司机等群体列入“白名单”，并及时推送给辖区内银行业金融机构、地方政府性融资担保机构等。人民银行分支机构、银保监局要引导辖区内银行业金融机构对照“白名单”积极对接市场主体融资需求，按市场化原则提供金融服务。</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9.建立信息共享和批量核验机制。省级交通运输主管部门要与辖区内银行业金融机构建立信息共享机制，根据银行业务办理需求，协调有关单位提供交通物流企业和从业司机清单，包含资质资格、车辆行驶轨迹、电子运单、交通执法等要素信息，主动协助银行业金融机构对交通物流贷款主体证照信息进行批量核验，降低银行业金融机构信息收集成本和贷款审核压力，减轻贷款主体负担。中国交通通信信息中心、全国性银行总行等单位要加强合作，建立信息共享机制。中国交通通信信息中心等相关单位要在保障网络安全、信息安全的前提下，免费向银行业金融机构提供信贷投放所需要素信息。</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10.推动加大贴息、担保增信等配套政策支持力度。各地交通运输主管部门要协调地方金融监管部门推动地方政府性融资担保机构在“白名单”基础上，为市场主体提供融资增信支持，依法依约及时履行代偿责任，积极帮助交通物流企业、个体工商户、货车司机等相关群体转贷续贷。鼓励有条件的地方对交通物流贷款（含租金）给予贴息、融资担保费用补贴，以及向政府性融资担保机构注资等支持。支持普惠金融发展示范区运用政策资源进行贷款贴息、风险补偿，或为政府性融资担保机构补充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44"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9</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《交通运输部 国家发展改革委 自然资源部 生态环境部 水利部关于加快沿海和内河港口码头改建扩建工作的通知》（交水发〔</w:t>
            </w:r>
            <w:r>
              <w:rPr>
                <w:rFonts w:ascii="Times New Roman" w:hAnsi="Times New Roman" w:eastAsia="仿宋_GB2312" w:cs="Times New Roman"/>
                <w:kern w:val="0"/>
                <w:szCs w:val="21"/>
              </w:rPr>
              <w:t>2023</w:t>
            </w:r>
            <w:r>
              <w:rPr>
                <w:rFonts w:hint="eastAsia" w:ascii="仿宋_GB2312" w:hAnsi="Calibri" w:eastAsia="仿宋_GB2312" w:cs="Calibri"/>
                <w:kern w:val="0"/>
                <w:szCs w:val="21"/>
              </w:rPr>
              <w:t>〕</w:t>
            </w:r>
            <w:r>
              <w:rPr>
                <w:rFonts w:ascii="Times New Roman" w:hAnsi="Times New Roman" w:eastAsia="仿宋_GB2312" w:cs="Times New Roman"/>
                <w:kern w:val="0"/>
                <w:szCs w:val="21"/>
              </w:rPr>
              <w:t>18</w:t>
            </w:r>
            <w:r>
              <w:rPr>
                <w:rFonts w:hint="eastAsia" w:ascii="仿宋_GB2312" w:hAnsi="Calibri" w:eastAsia="仿宋_GB2312" w:cs="Calibri"/>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kern w:val="0"/>
                <w:szCs w:val="21"/>
              </w:rPr>
              <w:t>加强资金保障。积极争取银行等金融机构按照市场化原则提供融资支持，鼓励码头改建扩建项目积极利用包括国家政策性开发性银行在内的各类银行提供的多样化、差异化金融服务，包括中长期贷款、建设期短贷、流动资金支持贷款以及实行优惠利率、给予最长贷款期限等政策。鼓励港口企业利用盘活存量资产回收资金、专项债、企业信用类债券等用于码头改建扩建项目建设。支持改建扩建项目中符合有关资金补助政策的建设内容积极申请政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仿宋_GB2312" w:cs="Times New Roman"/>
                <w:spacing w:val="11"/>
                <w:kern w:val="0"/>
                <w:szCs w:val="21"/>
              </w:rPr>
              <w:t>10</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《财政部 税务总局关于明确增值税小规模纳税人减免增值税等政策的公告》（财政部 税务总局公告</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年第</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1.自</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日至</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12</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31</w:t>
            </w:r>
            <w:r>
              <w:rPr>
                <w:rFonts w:hint="eastAsia" w:ascii="仿宋_GB2312" w:hAnsi="Calibri" w:eastAsia="仿宋_GB2312" w:cs="Calibri"/>
                <w:spacing w:val="11"/>
                <w:kern w:val="0"/>
                <w:szCs w:val="21"/>
              </w:rPr>
              <w:t>日，对月销售额</w:t>
            </w:r>
            <w:r>
              <w:rPr>
                <w:rFonts w:ascii="Times New Roman" w:hAnsi="Times New Roman" w:eastAsia="仿宋_GB2312" w:cs="Times New Roman"/>
                <w:spacing w:val="11"/>
                <w:kern w:val="0"/>
                <w:szCs w:val="21"/>
              </w:rPr>
              <w:t>10</w:t>
            </w:r>
            <w:r>
              <w:rPr>
                <w:rFonts w:hint="eastAsia" w:ascii="仿宋_GB2312" w:hAnsi="Calibri" w:eastAsia="仿宋_GB2312" w:cs="Calibri"/>
                <w:spacing w:val="11"/>
                <w:kern w:val="0"/>
                <w:szCs w:val="21"/>
              </w:rPr>
              <w:t>万元以下（含本数）的增值税小规模纳税人，免征增值税。</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2.自</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日至</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12</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31</w:t>
            </w:r>
            <w:r>
              <w:rPr>
                <w:rFonts w:hint="eastAsia" w:ascii="仿宋_GB2312" w:hAnsi="Calibri" w:eastAsia="仿宋_GB2312" w:cs="Calibri"/>
                <w:spacing w:val="11"/>
                <w:kern w:val="0"/>
                <w:szCs w:val="21"/>
              </w:rPr>
              <w:t>日，增值税小规模纳税人适用</w:t>
            </w:r>
            <w:r>
              <w:rPr>
                <w:rFonts w:ascii="Times New Roman" w:hAnsi="Times New Roman" w:eastAsia="仿宋_GB2312" w:cs="Times New Roman"/>
                <w:spacing w:val="11"/>
                <w:kern w:val="0"/>
                <w:szCs w:val="21"/>
              </w:rPr>
              <w:t>3%</w:t>
            </w:r>
            <w:r>
              <w:rPr>
                <w:rFonts w:hint="eastAsia" w:ascii="仿宋_GB2312" w:hAnsi="Calibri" w:eastAsia="仿宋_GB2312" w:cs="Calibri"/>
                <w:spacing w:val="11"/>
                <w:kern w:val="0"/>
                <w:szCs w:val="21"/>
              </w:rPr>
              <w:t>征收率的应税销售收入，减按</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征收率征收增值税；适用</w:t>
            </w:r>
            <w:r>
              <w:rPr>
                <w:rFonts w:ascii="Times New Roman" w:hAnsi="Times New Roman" w:eastAsia="仿宋_GB2312" w:cs="Times New Roman"/>
                <w:spacing w:val="11"/>
                <w:kern w:val="0"/>
                <w:szCs w:val="21"/>
              </w:rPr>
              <w:t>3%</w:t>
            </w:r>
            <w:r>
              <w:rPr>
                <w:rFonts w:hint="eastAsia" w:ascii="仿宋_GB2312" w:hAnsi="Calibri" w:eastAsia="仿宋_GB2312" w:cs="Calibri"/>
                <w:spacing w:val="11"/>
                <w:kern w:val="0"/>
                <w:szCs w:val="21"/>
              </w:rPr>
              <w:t>预征率的预缴增值税项目，减按</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预征率预缴增值税。</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3.自</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日至</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12</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31</w:t>
            </w:r>
            <w:r>
              <w:rPr>
                <w:rFonts w:hint="eastAsia" w:ascii="仿宋_GB2312" w:hAnsi="Calibri" w:eastAsia="仿宋_GB2312" w:cs="Calibri"/>
                <w:spacing w:val="11"/>
                <w:kern w:val="0"/>
                <w:szCs w:val="21"/>
              </w:rPr>
              <w:t>日，增值税加计抵减政策按照以下规定执行：</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）允许生产性服务业纳税人按照当期可抵扣进项税额加计</w:t>
            </w:r>
            <w:r>
              <w:rPr>
                <w:rFonts w:ascii="Times New Roman" w:hAnsi="Times New Roman" w:eastAsia="仿宋_GB2312" w:cs="Times New Roman"/>
                <w:spacing w:val="11"/>
                <w:kern w:val="0"/>
                <w:szCs w:val="21"/>
              </w:rPr>
              <w:t>5%</w:t>
            </w:r>
            <w:r>
              <w:rPr>
                <w:rFonts w:hint="eastAsia" w:ascii="仿宋_GB2312" w:hAnsi="Calibri" w:eastAsia="仿宋_GB2312" w:cs="Calibri"/>
                <w:spacing w:val="11"/>
                <w:kern w:val="0"/>
                <w:szCs w:val="21"/>
              </w:rPr>
              <w:t>抵减应纳税额。生产性服务业纳税人，是指提供邮政服务、电信服务、现代服务、生活服务取得的销售额占全部销售额的比重超过</w:t>
            </w:r>
            <w:r>
              <w:rPr>
                <w:rFonts w:ascii="Times New Roman" w:hAnsi="Times New Roman" w:eastAsia="仿宋_GB2312" w:cs="Times New Roman"/>
                <w:spacing w:val="11"/>
                <w:kern w:val="0"/>
                <w:szCs w:val="21"/>
              </w:rPr>
              <w:t>50%</w:t>
            </w:r>
            <w:r>
              <w:rPr>
                <w:rFonts w:hint="eastAsia" w:ascii="仿宋_GB2312" w:hAnsi="Calibri" w:eastAsia="仿宋_GB2312" w:cs="Calibri"/>
                <w:spacing w:val="11"/>
                <w:kern w:val="0"/>
                <w:szCs w:val="21"/>
              </w:rPr>
              <w:t>的纳税人。</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w:t>
            </w:r>
            <w:r>
              <w:rPr>
                <w:rFonts w:ascii="Times New Roman" w:hAnsi="Times New Roman" w:eastAsia="仿宋_GB2312" w:cs="Times New Roman"/>
                <w:spacing w:val="11"/>
                <w:kern w:val="0"/>
                <w:szCs w:val="21"/>
              </w:rPr>
              <w:t>2</w:t>
            </w:r>
            <w:r>
              <w:rPr>
                <w:rFonts w:hint="eastAsia" w:ascii="仿宋_GB2312" w:hAnsi="Calibri" w:eastAsia="仿宋_GB2312" w:cs="Calibri"/>
                <w:spacing w:val="11"/>
                <w:kern w:val="0"/>
                <w:szCs w:val="21"/>
              </w:rPr>
              <w:t>）允许生活性服务业纳税人按照当期可抵扣进项税额加计</w:t>
            </w:r>
            <w:r>
              <w:rPr>
                <w:rFonts w:ascii="Times New Roman" w:hAnsi="Times New Roman" w:eastAsia="仿宋_GB2312" w:cs="Times New Roman"/>
                <w:spacing w:val="11"/>
                <w:kern w:val="0"/>
                <w:szCs w:val="21"/>
              </w:rPr>
              <w:t>10%</w:t>
            </w:r>
            <w:r>
              <w:rPr>
                <w:rFonts w:hint="eastAsia" w:ascii="仿宋_GB2312" w:hAnsi="Calibri" w:eastAsia="仿宋_GB2312" w:cs="Calibri"/>
                <w:spacing w:val="11"/>
                <w:kern w:val="0"/>
                <w:szCs w:val="21"/>
              </w:rPr>
              <w:t>抵减应纳税额。生活性服务业纳税人，是指提供生活服务取得的销售额占全部销售额的比重超过</w:t>
            </w:r>
            <w:r>
              <w:rPr>
                <w:rFonts w:ascii="Times New Roman" w:hAnsi="Times New Roman" w:eastAsia="仿宋_GB2312" w:cs="Times New Roman"/>
                <w:spacing w:val="11"/>
                <w:kern w:val="0"/>
                <w:szCs w:val="21"/>
              </w:rPr>
              <w:t>50%</w:t>
            </w:r>
            <w:r>
              <w:rPr>
                <w:rFonts w:hint="eastAsia" w:ascii="仿宋_GB2312" w:hAnsi="Calibri" w:eastAsia="仿宋_GB2312" w:cs="Calibri"/>
                <w:spacing w:val="11"/>
                <w:kern w:val="0"/>
                <w:szCs w:val="21"/>
              </w:rPr>
              <w:t>的纳税人。</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w:t>
            </w:r>
            <w:r>
              <w:rPr>
                <w:rFonts w:ascii="Times New Roman" w:hAnsi="Times New Roman" w:eastAsia="仿宋_GB2312" w:cs="Times New Roman"/>
                <w:spacing w:val="11"/>
                <w:kern w:val="0"/>
                <w:szCs w:val="21"/>
              </w:rPr>
              <w:t>3</w:t>
            </w:r>
            <w:r>
              <w:rPr>
                <w:rFonts w:hint="eastAsia" w:ascii="仿宋_GB2312" w:hAnsi="Calibri" w:eastAsia="仿宋_GB2312" w:cs="Calibri"/>
                <w:spacing w:val="11"/>
                <w:kern w:val="0"/>
                <w:szCs w:val="21"/>
              </w:rPr>
              <w:t>海关总署公告</w:t>
            </w:r>
            <w:r>
              <w:rPr>
                <w:rFonts w:hint="eastAsia" w:ascii="MS Mincho" w:hAnsi="MS Mincho" w:eastAsia="MS Mincho" w:cs="MS Mincho"/>
                <w:spacing w:val="11"/>
                <w:kern w:val="0"/>
                <w:szCs w:val="21"/>
              </w:rPr>
              <w:t> </w:t>
            </w:r>
            <w:r>
              <w:rPr>
                <w:rFonts w:hint="eastAsia" w:ascii="仿宋_GB2312" w:hAnsi="Calibri" w:eastAsia="仿宋_GB2312" w:cs="Calibri"/>
                <w:spacing w:val="11"/>
                <w:kern w:val="0"/>
                <w:szCs w:val="21"/>
              </w:rPr>
              <w:t>税务总局</w:t>
            </w:r>
            <w:r>
              <w:rPr>
                <w:rFonts w:hint="eastAsia" w:ascii="MS Mincho" w:hAnsi="MS Mincho" w:eastAsia="MS Mincho" w:cs="MS Mincho"/>
                <w:spacing w:val="11"/>
                <w:kern w:val="0"/>
                <w:szCs w:val="21"/>
              </w:rPr>
              <w:t> </w:t>
            </w:r>
            <w:r>
              <w:rPr>
                <w:rFonts w:hint="eastAsia" w:ascii="仿宋_GB2312" w:hAnsi="Calibri" w:eastAsia="仿宋_GB2312" w:cs="Calibri"/>
                <w:spacing w:val="11"/>
                <w:kern w:val="0"/>
                <w:szCs w:val="21"/>
              </w:rPr>
              <w:t>）纳税人适用加计抵减政策的其他有关事项，按照《财政部 税务总局 海关总署关于深化增值税改革有关政策的公告》（财政部</w:t>
            </w:r>
            <w:r>
              <w:rPr>
                <w:rFonts w:ascii="Times New Roman" w:hAnsi="Times New Roman" w:eastAsia="仿宋_GB2312" w:cs="Times New Roman"/>
                <w:spacing w:val="11"/>
                <w:kern w:val="0"/>
                <w:szCs w:val="21"/>
              </w:rPr>
              <w:t>2019</w:t>
            </w:r>
            <w:r>
              <w:rPr>
                <w:rFonts w:hint="eastAsia" w:ascii="仿宋_GB2312" w:hAnsi="Calibri" w:eastAsia="仿宋_GB2312" w:cs="Calibri"/>
                <w:spacing w:val="11"/>
                <w:kern w:val="0"/>
                <w:szCs w:val="21"/>
              </w:rPr>
              <w:t>年第</w:t>
            </w:r>
            <w:r>
              <w:rPr>
                <w:rFonts w:ascii="Times New Roman" w:hAnsi="Times New Roman" w:eastAsia="仿宋_GB2312" w:cs="Times New Roman"/>
                <w:spacing w:val="11"/>
                <w:kern w:val="0"/>
                <w:szCs w:val="21"/>
              </w:rPr>
              <w:t>39</w:t>
            </w:r>
            <w:r>
              <w:rPr>
                <w:rFonts w:hint="eastAsia" w:ascii="仿宋_GB2312" w:hAnsi="Calibri" w:eastAsia="仿宋_GB2312" w:cs="Calibri"/>
                <w:spacing w:val="11"/>
                <w:kern w:val="0"/>
                <w:szCs w:val="21"/>
              </w:rPr>
              <w:t>税务总局公告</w:t>
            </w:r>
            <w:r>
              <w:rPr>
                <w:rFonts w:hint="eastAsia" w:ascii="MS Mincho" w:hAnsi="MS Mincho" w:eastAsia="MS Mincho" w:cs="MS Mincho"/>
                <w:spacing w:val="11"/>
                <w:kern w:val="0"/>
                <w:szCs w:val="21"/>
              </w:rPr>
              <w:t> </w:t>
            </w:r>
            <w:r>
              <w:rPr>
                <w:rFonts w:hint="eastAsia" w:ascii="仿宋_GB2312" w:hAnsi="Calibri" w:eastAsia="仿宋_GB2312" w:cs="Calibri"/>
                <w:spacing w:val="11"/>
                <w:kern w:val="0"/>
                <w:szCs w:val="21"/>
              </w:rPr>
              <w:t>号）、《财政部 税务总局关于明确生活性服务业增值税加计抵减政策的公告》（财政部</w:t>
            </w:r>
            <w:r>
              <w:rPr>
                <w:rFonts w:ascii="Times New Roman" w:hAnsi="Times New Roman" w:eastAsia="仿宋_GB2312" w:cs="Times New Roman"/>
                <w:spacing w:val="11"/>
                <w:kern w:val="0"/>
                <w:szCs w:val="21"/>
              </w:rPr>
              <w:t>2019</w:t>
            </w:r>
            <w:r>
              <w:rPr>
                <w:rFonts w:hint="eastAsia" w:ascii="仿宋_GB2312" w:hAnsi="Calibri" w:eastAsia="仿宋_GB2312" w:cs="Calibri"/>
                <w:spacing w:val="11"/>
                <w:kern w:val="0"/>
                <w:szCs w:val="21"/>
              </w:rPr>
              <w:t>年第</w:t>
            </w:r>
            <w:r>
              <w:rPr>
                <w:rFonts w:ascii="Times New Roman" w:hAnsi="Times New Roman" w:eastAsia="仿宋_GB2312" w:cs="Times New Roman"/>
                <w:spacing w:val="11"/>
                <w:kern w:val="0"/>
                <w:szCs w:val="21"/>
              </w:rPr>
              <w:t>87</w:t>
            </w:r>
            <w:r>
              <w:rPr>
                <w:rFonts w:hint="eastAsia" w:ascii="仿宋_GB2312" w:hAnsi="Calibri" w:eastAsia="仿宋_GB2312" w:cs="Calibri"/>
                <w:spacing w:val="11"/>
                <w:kern w:val="0"/>
                <w:szCs w:val="21"/>
              </w:rPr>
              <w:t>号）等有关规定执行。</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4.按照本公告规定，应予减免的增值税，在本公告下发前已征收的，可抵减纳税人以后纳税期应缴纳税款或予以退还。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803" w:type="dxa"/>
            <w:shd w:val="clear" w:color="auto" w:fill="FFFFFF"/>
            <w:tcMar>
              <w:top w:w="0" w:type="dxa"/>
              <w:left w:w="108" w:type="dxa"/>
              <w:bottom w:w="0" w:type="dxa"/>
              <w:right w:w="108" w:type="dxa"/>
            </w:tcMar>
            <w:vAlign w:val="center"/>
          </w:tcPr>
          <w:p>
            <w:pPr>
              <w:widowControl/>
              <w:wordWrap w:val="0"/>
              <w:spacing w:line="400" w:lineRule="atLeast"/>
              <w:jc w:val="center"/>
              <w:rPr>
                <w:rFonts w:ascii="Times New Roman" w:hAnsi="Times New Roman" w:eastAsia="Microsoft YaHei UI" w:cs="Times New Roman"/>
                <w:spacing w:val="11"/>
                <w:kern w:val="0"/>
                <w:szCs w:val="21"/>
              </w:rPr>
            </w:pPr>
            <w:r>
              <w:rPr>
                <w:rFonts w:ascii="Times New Roman" w:hAnsi="Times New Roman" w:eastAsia="Microsoft YaHei UI" w:cs="Times New Roman"/>
                <w:spacing w:val="11"/>
                <w:kern w:val="0"/>
                <w:szCs w:val="21"/>
              </w:rPr>
              <w:t>11</w:t>
            </w:r>
          </w:p>
        </w:tc>
        <w:tc>
          <w:tcPr>
            <w:tcW w:w="2474"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《国家税务总局关于增值税小规模纳税人减免增值税等政策有关征管事项的公告》（国家税务总局公告</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年第</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号）</w:t>
            </w:r>
          </w:p>
        </w:tc>
        <w:tc>
          <w:tcPr>
            <w:tcW w:w="7376" w:type="dxa"/>
            <w:shd w:val="clear" w:color="auto" w:fill="FFFFFF"/>
            <w:tcMar>
              <w:top w:w="0" w:type="dxa"/>
              <w:left w:w="108" w:type="dxa"/>
              <w:bottom w:w="0" w:type="dxa"/>
              <w:right w:w="108" w:type="dxa"/>
            </w:tcMar>
            <w:vAlign w:val="center"/>
          </w:tcPr>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1.增值税小规模纳税人（以下简称小规模纳税人）发生增值税应税销售行为，合计月销售额未超过</w:t>
            </w:r>
            <w:r>
              <w:rPr>
                <w:rFonts w:ascii="Times New Roman" w:hAnsi="Times New Roman" w:eastAsia="仿宋_GB2312" w:cs="Times New Roman"/>
                <w:spacing w:val="11"/>
                <w:kern w:val="0"/>
                <w:szCs w:val="21"/>
              </w:rPr>
              <w:t>10</w:t>
            </w:r>
            <w:r>
              <w:rPr>
                <w:rFonts w:hint="eastAsia" w:ascii="仿宋_GB2312" w:hAnsi="Calibri" w:eastAsia="仿宋_GB2312" w:cs="Calibri"/>
                <w:spacing w:val="11"/>
                <w:kern w:val="0"/>
                <w:szCs w:val="21"/>
              </w:rPr>
              <w:t>万元（以</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个季度为</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个纳税期的，季度销售额未超过</w:t>
            </w:r>
            <w:r>
              <w:rPr>
                <w:rFonts w:ascii="Times New Roman" w:hAnsi="Times New Roman" w:eastAsia="仿宋_GB2312" w:cs="Times New Roman"/>
                <w:spacing w:val="11"/>
                <w:kern w:val="0"/>
                <w:szCs w:val="21"/>
              </w:rPr>
              <w:t>30</w:t>
            </w:r>
            <w:r>
              <w:rPr>
                <w:rFonts w:hint="eastAsia" w:ascii="仿宋_GB2312" w:hAnsi="Calibri" w:eastAsia="仿宋_GB2312" w:cs="Calibri"/>
                <w:spacing w:val="11"/>
                <w:kern w:val="0"/>
                <w:szCs w:val="21"/>
              </w:rPr>
              <w:t>万元，下同）的，免征增值税。</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2.适用增值税差额征税政策的小规模纳税人，以差额后的销售额确定是否可以享受</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号公告第一条规定的免征增值税政策。</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3.《中华人民共和国增值税暂行条例实施细则》第九条所称的其他个人，采取一次性收取租金形式出租不动产取得的租金收入，可在对应的租赁期内平均分摊，分摊后的月租金收入未超过</w:t>
            </w:r>
            <w:r>
              <w:rPr>
                <w:rFonts w:ascii="Times New Roman" w:hAnsi="Times New Roman" w:eastAsia="仿宋_GB2312" w:cs="Times New Roman"/>
                <w:spacing w:val="11"/>
                <w:kern w:val="0"/>
                <w:szCs w:val="21"/>
              </w:rPr>
              <w:t>10</w:t>
            </w:r>
            <w:r>
              <w:rPr>
                <w:rFonts w:hint="eastAsia" w:ascii="仿宋_GB2312" w:hAnsi="Calibri" w:eastAsia="仿宋_GB2312" w:cs="Calibri"/>
                <w:spacing w:val="11"/>
                <w:kern w:val="0"/>
                <w:szCs w:val="21"/>
              </w:rPr>
              <w:t>万元的，免征增值税。</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4.小规模纳税人取得应税销售收入，适用</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号公告第一条规定的免征增值税政策的，纳税人可就该笔销售收入选择放弃免税并开具增值税专用发票。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5.小规模纳税人取得应税销售收入，适用</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号公告第二条规定的减按</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征收率征收增值税政策的，应按照</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征收率开具增值税发票。纳税人可就该笔销售收入选择放弃减税并开具增值税专用发票。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6.小规模纳税人取得应税销售收入，纳税义务发生时间在</w:t>
            </w:r>
            <w:r>
              <w:rPr>
                <w:rFonts w:ascii="Times New Roman" w:hAnsi="Times New Roman" w:eastAsia="仿宋_GB2312" w:cs="Times New Roman"/>
                <w:spacing w:val="11"/>
                <w:kern w:val="0"/>
                <w:szCs w:val="21"/>
              </w:rPr>
              <w:t>2022</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12</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31</w:t>
            </w:r>
            <w:r>
              <w:rPr>
                <w:rFonts w:hint="eastAsia" w:ascii="仿宋_GB2312" w:hAnsi="Calibri" w:eastAsia="仿宋_GB2312" w:cs="Calibri"/>
                <w:spacing w:val="11"/>
                <w:kern w:val="0"/>
                <w:szCs w:val="21"/>
              </w:rPr>
              <w:t>日前并已开具增值税发票，如发生销售折让、中止或者退回等情形需要开具红字发票，应开具对应征收率红字发票或免税红字发票；开票有误需要重新开具的，应开具对应征收率红字发票或免税红字发票，再重新开具正确的蓝字发票。</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7.按固定期限纳税的小规模纳税人可以选择以</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个月或</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个季度为纳税期限，一经选择，一个会计年度内不得变更。</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8.按照现行规定应当预缴增值税税款的小规模纳税人，凡在预缴地实现的月销售额未超过</w:t>
            </w:r>
            <w:r>
              <w:rPr>
                <w:rFonts w:ascii="Times New Roman" w:hAnsi="Times New Roman" w:eastAsia="仿宋_GB2312" w:cs="Times New Roman"/>
                <w:spacing w:val="11"/>
                <w:kern w:val="0"/>
                <w:szCs w:val="21"/>
              </w:rPr>
              <w:t>10</w:t>
            </w:r>
            <w:r>
              <w:rPr>
                <w:rFonts w:hint="eastAsia" w:ascii="仿宋_GB2312" w:hAnsi="Calibri" w:eastAsia="仿宋_GB2312" w:cs="Calibri"/>
                <w:spacing w:val="11"/>
                <w:kern w:val="0"/>
                <w:szCs w:val="21"/>
              </w:rPr>
              <w:t>万元的，当期无需预缴税款。在预缴地实现的月销售额超过</w:t>
            </w:r>
            <w:r>
              <w:rPr>
                <w:rFonts w:ascii="Times New Roman" w:hAnsi="Times New Roman" w:eastAsia="仿宋_GB2312" w:cs="Times New Roman"/>
                <w:spacing w:val="11"/>
                <w:kern w:val="0"/>
                <w:szCs w:val="21"/>
              </w:rPr>
              <w:t>10</w:t>
            </w:r>
            <w:r>
              <w:rPr>
                <w:rFonts w:hint="eastAsia" w:ascii="仿宋_GB2312" w:hAnsi="Calibri" w:eastAsia="仿宋_GB2312" w:cs="Calibri"/>
                <w:spacing w:val="11"/>
                <w:kern w:val="0"/>
                <w:szCs w:val="21"/>
              </w:rPr>
              <w:t>万元的，适用</w:t>
            </w:r>
            <w:r>
              <w:rPr>
                <w:rFonts w:ascii="Times New Roman" w:hAnsi="Times New Roman" w:eastAsia="仿宋_GB2312" w:cs="Times New Roman"/>
                <w:spacing w:val="11"/>
                <w:kern w:val="0"/>
                <w:szCs w:val="21"/>
              </w:rPr>
              <w:t>3%</w:t>
            </w:r>
            <w:r>
              <w:rPr>
                <w:rFonts w:hint="eastAsia" w:ascii="仿宋_GB2312" w:hAnsi="Calibri" w:eastAsia="仿宋_GB2312" w:cs="Calibri"/>
                <w:spacing w:val="11"/>
                <w:kern w:val="0"/>
                <w:szCs w:val="21"/>
              </w:rPr>
              <w:t>预征率的预缴增值税项目，减按</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预征率预缴增值税。</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9.小规模纳税人中的单位和个体工商户销售不动产，应按其纳税期、本公告第九条以及其他现行政策规定确定是否预缴增值税；其他个人销售不动产，继续按照现行规定征免增值税。</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10.纳税人按照</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号公告第四条规定申请办理抵减或退还已缴纳税款，如果已经向购买方开具了增值税专用发票，应先将增值税专用发票追回。</w:t>
            </w:r>
          </w:p>
          <w:p>
            <w:pPr>
              <w:widowControl/>
              <w:wordWrap w:val="0"/>
              <w:spacing w:line="400" w:lineRule="atLeast"/>
              <w:rPr>
                <w:rFonts w:ascii="Calibri" w:hAnsi="Calibri" w:eastAsia="Microsoft YaHei UI" w:cs="Calibri"/>
                <w:spacing w:val="11"/>
                <w:kern w:val="0"/>
                <w:szCs w:val="21"/>
              </w:rPr>
            </w:pPr>
            <w:r>
              <w:rPr>
                <w:rFonts w:hint="eastAsia" w:ascii="仿宋_GB2312" w:hAnsi="Calibri" w:eastAsia="仿宋_GB2312" w:cs="Calibri"/>
                <w:spacing w:val="11"/>
                <w:kern w:val="0"/>
                <w:szCs w:val="21"/>
              </w:rPr>
              <w:t>11.本公告自</w:t>
            </w:r>
            <w:r>
              <w:rPr>
                <w:rFonts w:ascii="Times New Roman" w:hAnsi="Times New Roman" w:eastAsia="仿宋_GB2312" w:cs="Times New Roman"/>
                <w:spacing w:val="11"/>
                <w:kern w:val="0"/>
                <w:szCs w:val="21"/>
              </w:rPr>
              <w:t>2023</w:t>
            </w:r>
            <w:r>
              <w:rPr>
                <w:rFonts w:hint="eastAsia" w:ascii="仿宋_GB2312" w:hAnsi="Calibri" w:eastAsia="仿宋_GB2312" w:cs="Calibri"/>
                <w:spacing w:val="11"/>
                <w:kern w:val="0"/>
                <w:szCs w:val="21"/>
              </w:rPr>
              <w:t>年</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月</w:t>
            </w:r>
            <w:r>
              <w:rPr>
                <w:rFonts w:ascii="Times New Roman" w:hAnsi="Times New Roman" w:eastAsia="仿宋_GB2312" w:cs="Times New Roman"/>
                <w:spacing w:val="11"/>
                <w:kern w:val="0"/>
                <w:szCs w:val="21"/>
              </w:rPr>
              <w:t>1</w:t>
            </w:r>
            <w:r>
              <w:rPr>
                <w:rFonts w:hint="eastAsia" w:ascii="仿宋_GB2312" w:hAnsi="Calibri" w:eastAsia="仿宋_GB2312" w:cs="Calibri"/>
                <w:spacing w:val="11"/>
                <w:kern w:val="0"/>
                <w:szCs w:val="21"/>
              </w:rPr>
              <w:t>日起施行。</w:t>
            </w:r>
          </w:p>
        </w:tc>
      </w:tr>
    </w:tbl>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PingFangSC-Ligh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090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06B0"/>
    <w:rsid w:val="00264664"/>
    <w:rsid w:val="004E46E3"/>
    <w:rsid w:val="008206B0"/>
    <w:rsid w:val="00BA3C8F"/>
    <w:rsid w:val="00BA67F3"/>
    <w:rsid w:val="00ED4EF9"/>
    <w:rsid w:val="3DC8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DA0B2-7A45-41F4-BFDA-83A4525D367C}">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9</Pages>
  <Words>1334</Words>
  <Characters>7609</Characters>
  <Lines>63</Lines>
  <Paragraphs>17</Paragraphs>
  <TotalTime>179</TotalTime>
  <ScaleCrop>false</ScaleCrop>
  <LinksUpToDate>false</LinksUpToDate>
  <CharactersWithSpaces>8926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2023-04-17T07:22:00Z</dcterms:created>
  <dc:creator>lenovo</dc:creator>
  <cp:lastModifiedBy>lenovo</cp:lastModifiedBy>
  <dcterms:modified xsi:type="dcterms:W3CDTF">2023-04-17T10:39:11Z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