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</w:rPr>
        <w:t>附件1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  <w:sz w:val="52"/>
          <w:szCs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年度广西物流企业50强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企业名称：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推荐单位: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</w:t>
      </w:r>
    </w:p>
    <w:p>
      <w:pPr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u w:val="singl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3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 xml:space="preserve">日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 xml:space="preserve"> 期: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           </w:t>
      </w:r>
      <w:r>
        <w:rPr>
          <w:rFonts w:hint="eastAsia" w:ascii="方正小标宋_GBK" w:hAnsi="方正小标宋_GBK" w:eastAsia="方正小标宋_GBK" w:cs="方正小标宋_GBK"/>
          <w:kern w:val="0"/>
          <w:u w:val="single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            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填 表 说 明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一、企业对所申报的数据真实性负责，违者取消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资格，不得擅自更改表格式样；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二、本表中盖章栏均需要相关负责人签字确认并加盖公章;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三、企业介绍要求内容详实、重点突出，字数不得超过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1500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字；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四、财务审计报告可节选三大表及主要内容附在表里，或另附页；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五、企业在评分表中进行自评，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  <w:lang w:val="en-US" w:eastAsia="zh-CN"/>
        </w:rPr>
        <w:t>推荐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标准自评分满分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仿宋_GB2312" w:eastAsia="仿宋_GB2312" w:cs="Times New Roman"/>
          <w:color w:val="auto"/>
          <w:kern w:val="0"/>
          <w:sz w:val="32"/>
          <w:szCs w:val="32"/>
          <w:lang w:val="en-US" w:eastAsia="zh-CN"/>
        </w:rPr>
        <w:t>加分项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10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分，总计满分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110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，企业根据</w:t>
      </w:r>
      <w:r>
        <w:rPr>
          <w:rFonts w:hint="eastAsia" w:ascii="Times New Roman" w:hAnsi="仿宋_GB2312" w:eastAsia="仿宋_GB2312" w:cs="Times New Roman"/>
          <w:color w:val="auto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进行评分；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六、本表一式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  <w:lang w:val="en-US" w:eastAsia="zh-CN"/>
        </w:rPr>
        <w:t>推荐委员会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办公室。</w:t>
      </w: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tbl>
      <w:tblPr>
        <w:tblStyle w:val="6"/>
        <w:tblpPr w:leftFromText="180" w:rightFromText="180" w:vertAnchor="text" w:horzAnchor="margin" w:tblpXSpec="center" w:tblpY="161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73"/>
        <w:gridCol w:w="3014"/>
        <w:gridCol w:w="190"/>
        <w:gridCol w:w="4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9793" w:type="dxa"/>
            <w:gridSpan w:val="5"/>
            <w:vAlign w:val="center"/>
          </w:tcPr>
          <w:p>
            <w:pPr>
              <w:widowControl/>
              <w:spacing w:line="800" w:lineRule="exact"/>
              <w:jc w:val="both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企业名称：（盖章）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9793" w:type="dxa"/>
            <w:gridSpan w:val="5"/>
            <w:vAlign w:val="center"/>
          </w:tcPr>
          <w:p>
            <w:pPr>
              <w:widowControl/>
              <w:spacing w:line="800" w:lineRule="exact"/>
              <w:jc w:val="both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法人代表：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9793" w:type="dxa"/>
            <w:gridSpan w:val="5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地    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650" w:type="dxa"/>
            <w:gridSpan w:val="3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 系 人：</w:t>
            </w:r>
          </w:p>
        </w:tc>
        <w:tc>
          <w:tcPr>
            <w:tcW w:w="5143" w:type="dxa"/>
            <w:gridSpan w:val="2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4650" w:type="dxa"/>
            <w:gridSpan w:val="3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联系电话：</w:t>
            </w:r>
          </w:p>
        </w:tc>
        <w:tc>
          <w:tcPr>
            <w:tcW w:w="5143" w:type="dxa"/>
            <w:gridSpan w:val="2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7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企业性质：</w:t>
            </w:r>
            <w:r>
              <w:rPr>
                <w:rFonts w:hint="eastAsia" w:cs="宋体"/>
                <w:kern w:val="0"/>
                <w:sz w:val="24"/>
              </w:rPr>
              <w:t>方框内打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国有及国有控股公司   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民营及民营控股公司    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外资及外资控股公司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会员等级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方框内打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</w:p>
        </w:tc>
        <w:tc>
          <w:tcPr>
            <w:tcW w:w="81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广西物流与采购联合会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副会长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常务理事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理事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一般会员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3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81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广西冷链协会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副会长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理事    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一般会员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57" w:type="dxa"/>
            <w:gridSpan w:val="3"/>
          </w:tcPr>
          <w:p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482" w:firstLineChars="20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本公司提交的202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年度广西物流企业50强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推荐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widowControl/>
              <w:tabs>
                <w:tab w:val="left" w:pos="360"/>
              </w:tabs>
              <w:wordWrap w:val="0"/>
              <w:spacing w:line="560" w:lineRule="exact"/>
              <w:jc w:val="center"/>
              <w:rPr>
                <w:rFonts w:hint="default" w:cs="宋体" w:eastAsia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57" w:type="dxa"/>
            <w:gridSpan w:val="3"/>
            <w:vAlign w:val="center"/>
          </w:tcPr>
          <w:p>
            <w:pPr>
              <w:widowControl/>
              <w:spacing w:before="20" w:line="40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企业所报资料符合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年度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广西物流企业50强申报条件，推荐上报广西物流与采购联合会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推荐委员会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before="20" w:line="400" w:lineRule="atLeast"/>
              <w:ind w:firstLine="2400" w:firstLineChars="10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                 </w:t>
            </w:r>
          </w:p>
          <w:p>
            <w:pPr>
              <w:widowControl/>
              <w:tabs>
                <w:tab w:val="left" w:pos="360"/>
              </w:tabs>
              <w:wordWrap w:val="0"/>
              <w:spacing w:line="560" w:lineRule="exact"/>
              <w:ind w:left="360" w:hanging="36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3" w:type="dxa"/>
            <w:gridSpan w:val="5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93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申请企业类型：请在类别前打“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”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综合服务型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仓储型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运输型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园区型     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信息化型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40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9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年总营业收入（万元）</w:t>
            </w:r>
          </w:p>
        </w:tc>
        <w:tc>
          <w:tcPr>
            <w:tcW w:w="4953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营业时间（年）</w:t>
            </w:r>
          </w:p>
        </w:tc>
        <w:tc>
          <w:tcPr>
            <w:tcW w:w="4953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资产总额（万元）</w:t>
            </w:r>
          </w:p>
        </w:tc>
        <w:tc>
          <w:tcPr>
            <w:tcW w:w="4953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资产负债率</w:t>
            </w:r>
          </w:p>
        </w:tc>
        <w:tc>
          <w:tcPr>
            <w:tcW w:w="4953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租用仓储面积（</w:t>
            </w:r>
            <w:r>
              <w:rPr>
                <w:rFonts w:ascii="宋体" w:hAnsi="宋体" w:cs="宋体"/>
                <w:kern w:val="0"/>
                <w:sz w:val="24"/>
              </w:rPr>
              <w:t>m</w:t>
            </w:r>
            <w:r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cs="宋体"/>
                <w:kern w:val="0"/>
                <w:sz w:val="24"/>
              </w:rPr>
              <w:t>）</w:t>
            </w:r>
          </w:p>
        </w:tc>
        <w:tc>
          <w:tcPr>
            <w:tcW w:w="4953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租用货运车辆（辆）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（或总载重量/t）</w:t>
            </w:r>
          </w:p>
        </w:tc>
        <w:tc>
          <w:tcPr>
            <w:tcW w:w="4953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运营网点分布范围</w:t>
            </w:r>
          </w:p>
        </w:tc>
        <w:tc>
          <w:tcPr>
            <w:tcW w:w="4953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员工总数</w:t>
            </w:r>
          </w:p>
        </w:tc>
        <w:tc>
          <w:tcPr>
            <w:tcW w:w="4953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发展状况比较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总营业收入</w:t>
            </w:r>
            <w:r>
              <w:rPr>
                <w:rFonts w:hint="eastAsia" w:ascii="宋体" w:hAnsi="宋体" w:cs="宋体"/>
                <w:kern w:val="0"/>
                <w:sz w:val="24"/>
              </w:rPr>
              <w:t>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953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资产总额</w:t>
            </w:r>
            <w:r>
              <w:rPr>
                <w:rFonts w:hint="eastAsia" w:ascii="宋体" w:hAnsi="宋体" w:cs="宋体"/>
                <w:kern w:val="0"/>
                <w:sz w:val="24"/>
              </w:rPr>
              <w:t>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953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1年利润</w:t>
            </w:r>
            <w:r>
              <w:rPr>
                <w:rFonts w:hint="eastAsia" w:ascii="宋体" w:hAnsi="宋体" w:cs="宋体"/>
                <w:kern w:val="0"/>
                <w:sz w:val="24"/>
              </w:rPr>
              <w:t>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953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</w:rPr>
              <w:t>纳税增长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953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</w:tbl>
    <w:p>
      <w:pPr>
        <w:widowControl/>
        <w:jc w:val="left"/>
        <w:rPr>
          <w:kern w:val="0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>
      <w:pPr>
        <w:widowControl/>
        <w:spacing w:line="240" w:lineRule="exact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注1：</w:t>
      </w:r>
      <w:r>
        <w:rPr>
          <w:rFonts w:hint="eastAsia" w:cs="宋体"/>
          <w:kern w:val="0"/>
          <w:szCs w:val="21"/>
        </w:rPr>
        <w:t>租用货运车辆是指企业通过合同等方式可进行调配、利用的货运车辆。</w:t>
      </w:r>
    </w:p>
    <w:p>
      <w:pPr>
        <w:widowControl/>
        <w:spacing w:line="240" w:lineRule="exact"/>
        <w:ind w:left="630" w:hanging="630" w:hangingChars="3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cs="宋体"/>
          <w:kern w:val="0"/>
          <w:szCs w:val="21"/>
        </w:rPr>
        <w:t>注2：租用仓储面积是指企业通过合同等方式可进行调配、利用的仓储总面积。</w:t>
      </w:r>
    </w:p>
    <w:p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7"/>
        <w:tblW w:w="98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一、企业简介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lang w:eastAsia="zh-CN"/>
              </w:rPr>
              <w:t>及申报理由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(含经营情况、行业内地位及竞争力、降本增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效情况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抗疫期间贡献情况，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1500字左右)</w:t>
            </w:r>
          </w:p>
        </w:tc>
        <w:tc>
          <w:tcPr>
            <w:tcW w:w="8100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8100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三、营业执照、企业所获得荣誉及资质佐证材料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8100" w:type="dxa"/>
          </w:tcPr>
          <w:p>
            <w:pPr>
              <w:widowControl/>
              <w:jc w:val="left"/>
              <w:rPr>
                <w:rFonts w:hint="default" w:ascii="仿宋_GB2312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需提供企业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logo清晰图片。</w:t>
            </w:r>
          </w:p>
        </w:tc>
      </w:tr>
    </w:tbl>
    <w:tbl>
      <w:tblPr>
        <w:tblStyle w:val="6"/>
        <w:tblpPr w:leftFromText="180" w:rightFromText="180" w:vertAnchor="text" w:horzAnchor="margin" w:tblpXSpec="center" w:tblpY="21"/>
        <w:tblW w:w="9730" w:type="dxa"/>
        <w:tblInd w:w="-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337"/>
        <w:gridCol w:w="900"/>
        <w:gridCol w:w="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年度广西物流企业50强评分表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企业经营业绩良好，具备一定规模，在行业内有一定的知名度和影响力（以202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年营业收入为主要参考指标）；（20分)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拥有现代物流运行体系和先进的物流管理体系，企业物流综合水平在本地区居于领先或标杆的地位，科学管理，制度完善，资质齐全；（20分）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持续发展能力强，企业竞争力和市场快速反应能力突出，客户满意度高，物流业务实现信息化和网络化管理；（20分）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通过国家A级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物流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企业认证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2A级得2分，3A级得5分，4A级得7分，5A级得10分；（10分）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在行业新技术标准化建设推广应用、经营模式创新、管理体系建设等方面有突出表现；（15分）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富有较强社会责任感，持续参与行业相关的公益活动；（15分）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加分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项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为抗疫做出贡献，受到自治区级以上单位表彰嘉奖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获得国家级、自治区级先进示范或者奖项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。（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最多加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10分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226A5"/>
    <w:rsid w:val="00047B5D"/>
    <w:rsid w:val="00094BE8"/>
    <w:rsid w:val="00177580"/>
    <w:rsid w:val="001A2851"/>
    <w:rsid w:val="001D7602"/>
    <w:rsid w:val="001E010B"/>
    <w:rsid w:val="001E69A7"/>
    <w:rsid w:val="00252FED"/>
    <w:rsid w:val="002A3E23"/>
    <w:rsid w:val="002A55E3"/>
    <w:rsid w:val="002A55F5"/>
    <w:rsid w:val="002A7C9F"/>
    <w:rsid w:val="002B412C"/>
    <w:rsid w:val="002E4CE7"/>
    <w:rsid w:val="002F76A7"/>
    <w:rsid w:val="003132B1"/>
    <w:rsid w:val="003231F3"/>
    <w:rsid w:val="003B1E30"/>
    <w:rsid w:val="003D63C9"/>
    <w:rsid w:val="003D7145"/>
    <w:rsid w:val="00454E36"/>
    <w:rsid w:val="004742F7"/>
    <w:rsid w:val="0048213B"/>
    <w:rsid w:val="004B378C"/>
    <w:rsid w:val="005749F9"/>
    <w:rsid w:val="005F304A"/>
    <w:rsid w:val="006866EE"/>
    <w:rsid w:val="00692946"/>
    <w:rsid w:val="0071077B"/>
    <w:rsid w:val="00724036"/>
    <w:rsid w:val="007E61A0"/>
    <w:rsid w:val="0082769A"/>
    <w:rsid w:val="00877611"/>
    <w:rsid w:val="00900DB0"/>
    <w:rsid w:val="00913EDF"/>
    <w:rsid w:val="00952640"/>
    <w:rsid w:val="009A380F"/>
    <w:rsid w:val="009A7D9E"/>
    <w:rsid w:val="009B143E"/>
    <w:rsid w:val="009E58AA"/>
    <w:rsid w:val="009E6BAB"/>
    <w:rsid w:val="009F4977"/>
    <w:rsid w:val="00A05B5A"/>
    <w:rsid w:val="00A115D2"/>
    <w:rsid w:val="00A46E61"/>
    <w:rsid w:val="00A5424C"/>
    <w:rsid w:val="00A85116"/>
    <w:rsid w:val="00AB3AFD"/>
    <w:rsid w:val="00AF5892"/>
    <w:rsid w:val="00B15466"/>
    <w:rsid w:val="00B30BDF"/>
    <w:rsid w:val="00B401EF"/>
    <w:rsid w:val="00BA5526"/>
    <w:rsid w:val="00BD25DC"/>
    <w:rsid w:val="00BE39D4"/>
    <w:rsid w:val="00BF4A3B"/>
    <w:rsid w:val="00C04356"/>
    <w:rsid w:val="00C65C44"/>
    <w:rsid w:val="00C90852"/>
    <w:rsid w:val="00C91801"/>
    <w:rsid w:val="00CA7555"/>
    <w:rsid w:val="00D22563"/>
    <w:rsid w:val="00D3317D"/>
    <w:rsid w:val="00D92A9D"/>
    <w:rsid w:val="00DB756D"/>
    <w:rsid w:val="00E303BE"/>
    <w:rsid w:val="00E6563B"/>
    <w:rsid w:val="00E70878"/>
    <w:rsid w:val="00E76E85"/>
    <w:rsid w:val="00E94377"/>
    <w:rsid w:val="00EF5E76"/>
    <w:rsid w:val="00F10F33"/>
    <w:rsid w:val="00F11B03"/>
    <w:rsid w:val="00F33474"/>
    <w:rsid w:val="00F33A35"/>
    <w:rsid w:val="00F7595A"/>
    <w:rsid w:val="00F91249"/>
    <w:rsid w:val="00F95EEF"/>
    <w:rsid w:val="02CD2121"/>
    <w:rsid w:val="04CE5CA1"/>
    <w:rsid w:val="05145846"/>
    <w:rsid w:val="066C460C"/>
    <w:rsid w:val="08182438"/>
    <w:rsid w:val="08637ED8"/>
    <w:rsid w:val="097555B2"/>
    <w:rsid w:val="0A0456C5"/>
    <w:rsid w:val="0FE226A5"/>
    <w:rsid w:val="0FE96AB7"/>
    <w:rsid w:val="122A0062"/>
    <w:rsid w:val="15A92E3F"/>
    <w:rsid w:val="15B47CBD"/>
    <w:rsid w:val="1B872A58"/>
    <w:rsid w:val="200453F8"/>
    <w:rsid w:val="2207106F"/>
    <w:rsid w:val="221D737A"/>
    <w:rsid w:val="22E25721"/>
    <w:rsid w:val="23117EAA"/>
    <w:rsid w:val="27680BC5"/>
    <w:rsid w:val="2B5C2F6B"/>
    <w:rsid w:val="2B7937EC"/>
    <w:rsid w:val="2ED27C9A"/>
    <w:rsid w:val="30ED6C1A"/>
    <w:rsid w:val="329F7CC2"/>
    <w:rsid w:val="33A940F6"/>
    <w:rsid w:val="33B8661B"/>
    <w:rsid w:val="345E6FDA"/>
    <w:rsid w:val="351E11AA"/>
    <w:rsid w:val="36AB38D2"/>
    <w:rsid w:val="36F43F1A"/>
    <w:rsid w:val="37350CEC"/>
    <w:rsid w:val="37D80485"/>
    <w:rsid w:val="38DB4F58"/>
    <w:rsid w:val="3A9D65EE"/>
    <w:rsid w:val="41060E16"/>
    <w:rsid w:val="439A0956"/>
    <w:rsid w:val="44411106"/>
    <w:rsid w:val="44E91918"/>
    <w:rsid w:val="493F7A6E"/>
    <w:rsid w:val="4A0D4134"/>
    <w:rsid w:val="4CD042E8"/>
    <w:rsid w:val="4CD42B8F"/>
    <w:rsid w:val="4E451531"/>
    <w:rsid w:val="4FAA3D49"/>
    <w:rsid w:val="504B64E1"/>
    <w:rsid w:val="522F09A2"/>
    <w:rsid w:val="524C223A"/>
    <w:rsid w:val="5562073D"/>
    <w:rsid w:val="5ACD2CF8"/>
    <w:rsid w:val="5F5D3118"/>
    <w:rsid w:val="60102F65"/>
    <w:rsid w:val="611218A2"/>
    <w:rsid w:val="630C7A3C"/>
    <w:rsid w:val="653768FE"/>
    <w:rsid w:val="65B733E3"/>
    <w:rsid w:val="6609421C"/>
    <w:rsid w:val="6FF10A18"/>
    <w:rsid w:val="70821AFE"/>
    <w:rsid w:val="70CF345B"/>
    <w:rsid w:val="710453FE"/>
    <w:rsid w:val="75195E9C"/>
    <w:rsid w:val="7D213476"/>
    <w:rsid w:val="7FF9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 61"/>
    <w:basedOn w:val="1"/>
    <w:next w:val="1"/>
    <w:qFormat/>
    <w:uiPriority w:val="0"/>
    <w:pPr>
      <w:ind w:left="1000" w:leftChars="1000"/>
    </w:pPr>
    <w:rPr>
      <w:rFonts w:ascii="Calibri" w:hAnsi="Calibri" w:eastAsia="宋体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4"/>
    <w:qFormat/>
    <w:uiPriority w:val="99"/>
    <w:rPr>
      <w:kern w:val="2"/>
      <w:sz w:val="18"/>
      <w:szCs w:val="24"/>
    </w:rPr>
  </w:style>
  <w:style w:type="character" w:styleId="10">
    <w:name w:val="Placeholder Text"/>
    <w:basedOn w:val="8"/>
    <w:unhideWhenUsed/>
    <w:qFormat/>
    <w:uiPriority w:val="99"/>
    <w:rPr>
      <w:color w:val="808080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A4341B-FD11-44EF-AEDC-AD04F8F808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1265</Words>
  <Characters>1328</Characters>
  <Lines>15</Lines>
  <Paragraphs>4</Paragraphs>
  <TotalTime>3</TotalTime>
  <ScaleCrop>false</ScaleCrop>
  <LinksUpToDate>false</LinksUpToDate>
  <CharactersWithSpaces>2004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2022-03-02T10:33:00Z</dcterms:created>
  <dc:creator>绮云</dc:creator>
  <cp:lastModifiedBy>lenovo</cp:lastModifiedBy>
  <cp:lastPrinted>2023-02-28T10:19:00Z</cp:lastPrinted>
  <dcterms:modified xsi:type="dcterms:W3CDTF">2023-06-08T07:41:35Z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